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41BD" w14:textId="783655A7" w:rsidR="001F352E" w:rsidRDefault="001F352E" w:rsidP="001F352E">
      <w:pPr>
        <w:pStyle w:val="Heading1"/>
        <w:spacing w:before="0"/>
        <w:jc w:val="center"/>
      </w:pPr>
      <w:bookmarkStart w:id="0" w:name="_GoBack"/>
      <w:bookmarkEnd w:id="0"/>
      <w:r>
        <w:t xml:space="preserve">EFCOG </w:t>
      </w:r>
      <w:r w:rsidR="002D2C06">
        <w:t>Fire Protection Working Group</w:t>
      </w:r>
    </w:p>
    <w:p w14:paraId="68CAF598" w14:textId="5674CB1D" w:rsidR="004D0F82" w:rsidRDefault="002D2C06" w:rsidP="00D54650">
      <w:pPr>
        <w:pStyle w:val="Heading1"/>
        <w:spacing w:before="0"/>
        <w:jc w:val="center"/>
      </w:pPr>
      <w:r>
        <w:t xml:space="preserve">November 12, 2019 – Conference Call </w:t>
      </w:r>
      <w:r w:rsidR="0061794A">
        <w:t>Meeting Minutes</w:t>
      </w:r>
    </w:p>
    <w:p w14:paraId="4D3CBA42" w14:textId="77777777" w:rsidR="003C1A9D" w:rsidRDefault="003C1A9D" w:rsidP="003C1A9D">
      <w:pPr>
        <w:spacing w:after="0" w:line="240" w:lineRule="auto"/>
        <w:jc w:val="left"/>
        <w:rPr>
          <w:rFonts w:ascii="Arial" w:hAnsi="Arial" w:cs="Arial"/>
          <w:b/>
          <w:sz w:val="24"/>
          <w:szCs w:val="24"/>
          <w:u w:val="single"/>
        </w:rPr>
      </w:pPr>
    </w:p>
    <w:p w14:paraId="2DC2615A" w14:textId="77777777" w:rsidR="003975B7" w:rsidRDefault="003C1A9D" w:rsidP="00AC3E3F">
      <w:pPr>
        <w:spacing w:after="0" w:line="240" w:lineRule="auto"/>
        <w:jc w:val="left"/>
        <w:rPr>
          <w:rFonts w:ascii="Arial" w:hAnsi="Arial" w:cs="Arial"/>
          <w:b/>
          <w:sz w:val="24"/>
          <w:szCs w:val="24"/>
          <w:u w:val="single"/>
        </w:rPr>
      </w:pPr>
      <w:r>
        <w:rPr>
          <w:rFonts w:ascii="Arial" w:hAnsi="Arial" w:cs="Arial"/>
          <w:b/>
          <w:sz w:val="24"/>
          <w:szCs w:val="24"/>
          <w:u w:val="single"/>
        </w:rPr>
        <w:t>Attendees</w:t>
      </w:r>
    </w:p>
    <w:p w14:paraId="269E4F63" w14:textId="44E4677D" w:rsidR="003C1A9D" w:rsidRPr="003C1A9D" w:rsidRDefault="002D2C06" w:rsidP="00AC3E3F">
      <w:pPr>
        <w:spacing w:after="0" w:line="240" w:lineRule="auto"/>
        <w:jc w:val="left"/>
        <w:rPr>
          <w:rFonts w:ascii="Arial" w:hAnsi="Arial" w:cs="Arial"/>
          <w:sz w:val="24"/>
          <w:szCs w:val="24"/>
        </w:rPr>
      </w:pPr>
      <w:r>
        <w:rPr>
          <w:rFonts w:ascii="Arial" w:hAnsi="Arial" w:cs="Arial"/>
          <w:sz w:val="24"/>
          <w:szCs w:val="24"/>
        </w:rPr>
        <w:t>31 Total Participants</w:t>
      </w:r>
    </w:p>
    <w:p w14:paraId="22586222" w14:textId="77777777" w:rsidR="003C1A9D" w:rsidRDefault="003C1A9D" w:rsidP="00AC3E3F">
      <w:pPr>
        <w:spacing w:after="0" w:line="240" w:lineRule="auto"/>
        <w:jc w:val="left"/>
        <w:rPr>
          <w:rFonts w:ascii="Arial" w:hAnsi="Arial" w:cs="Arial"/>
          <w:b/>
          <w:sz w:val="24"/>
          <w:szCs w:val="24"/>
          <w:u w:val="single"/>
        </w:rPr>
      </w:pPr>
    </w:p>
    <w:p w14:paraId="33B96BAC" w14:textId="77777777" w:rsidR="001F352E" w:rsidRPr="001C374C" w:rsidRDefault="00071E0E" w:rsidP="00AC3E3F">
      <w:pPr>
        <w:spacing w:after="0" w:line="240" w:lineRule="auto"/>
        <w:jc w:val="left"/>
        <w:rPr>
          <w:rFonts w:ascii="Arial" w:hAnsi="Arial" w:cs="Arial"/>
          <w:b/>
          <w:sz w:val="24"/>
          <w:szCs w:val="24"/>
          <w:u w:val="single"/>
        </w:rPr>
      </w:pPr>
      <w:r w:rsidRPr="001C374C">
        <w:rPr>
          <w:rFonts w:ascii="Arial" w:hAnsi="Arial" w:cs="Arial"/>
          <w:b/>
          <w:sz w:val="24"/>
          <w:szCs w:val="24"/>
          <w:u w:val="single"/>
        </w:rPr>
        <w:t>Agenda</w:t>
      </w:r>
    </w:p>
    <w:p w14:paraId="6B647D99" w14:textId="6F9331CE" w:rsidR="0050791C" w:rsidRDefault="002D2C06" w:rsidP="00071E0E">
      <w:pPr>
        <w:pStyle w:val="ListParagraph"/>
        <w:numPr>
          <w:ilvl w:val="0"/>
          <w:numId w:val="2"/>
        </w:numPr>
        <w:spacing w:after="0" w:line="240" w:lineRule="auto"/>
        <w:rPr>
          <w:rFonts w:ascii="Arial" w:hAnsi="Arial" w:cs="Arial"/>
          <w:sz w:val="24"/>
          <w:szCs w:val="24"/>
        </w:rPr>
      </w:pPr>
      <w:r>
        <w:rPr>
          <w:rFonts w:ascii="Arial" w:hAnsi="Arial" w:cs="Arial"/>
          <w:sz w:val="24"/>
          <w:szCs w:val="24"/>
        </w:rPr>
        <w:t>Mike Cates informed the membership of the NFPA Code Reviews.</w:t>
      </w:r>
      <w:r w:rsidR="00A45F25">
        <w:rPr>
          <w:rFonts w:ascii="Arial" w:hAnsi="Arial" w:cs="Arial"/>
          <w:sz w:val="24"/>
          <w:szCs w:val="24"/>
        </w:rPr>
        <w:t xml:space="preserve">  </w:t>
      </w:r>
      <w:r w:rsidR="003C1A9D">
        <w:rPr>
          <w:rFonts w:ascii="Arial" w:hAnsi="Arial" w:cs="Arial"/>
          <w:sz w:val="24"/>
          <w:szCs w:val="24"/>
        </w:rPr>
        <w:t>No update was provided.</w:t>
      </w:r>
    </w:p>
    <w:p w14:paraId="093347CD" w14:textId="77777777" w:rsidR="0050791C" w:rsidRPr="0050791C" w:rsidRDefault="0050791C" w:rsidP="0050791C">
      <w:pPr>
        <w:spacing w:after="0" w:line="240" w:lineRule="auto"/>
        <w:ind w:left="360"/>
        <w:rPr>
          <w:rFonts w:ascii="Arial" w:hAnsi="Arial" w:cs="Arial"/>
          <w:sz w:val="24"/>
          <w:szCs w:val="24"/>
        </w:rPr>
      </w:pPr>
    </w:p>
    <w:p w14:paraId="0F5648A3" w14:textId="05E650C2" w:rsidR="00815864" w:rsidRDefault="002D2C06" w:rsidP="00071E0E">
      <w:pPr>
        <w:pStyle w:val="ListParagraph"/>
        <w:numPr>
          <w:ilvl w:val="0"/>
          <w:numId w:val="2"/>
        </w:numPr>
        <w:spacing w:after="0" w:line="240" w:lineRule="auto"/>
        <w:rPr>
          <w:rFonts w:ascii="Arial" w:hAnsi="Arial" w:cs="Arial"/>
          <w:sz w:val="24"/>
          <w:szCs w:val="24"/>
        </w:rPr>
      </w:pPr>
      <w:r>
        <w:rPr>
          <w:rFonts w:ascii="Arial" w:hAnsi="Arial" w:cs="Arial"/>
          <w:sz w:val="24"/>
          <w:szCs w:val="24"/>
        </w:rPr>
        <w:t>Discussion regarding the OPM elimination of the Engineering Grade 804. Federal FPE’s were invited to provide comments no later than November 15, 2019.</w:t>
      </w:r>
    </w:p>
    <w:p w14:paraId="7C2D3B6D" w14:textId="77777777" w:rsidR="00B447D9" w:rsidRPr="00B447D9" w:rsidRDefault="00B447D9" w:rsidP="00B447D9">
      <w:pPr>
        <w:spacing w:after="0" w:line="240" w:lineRule="auto"/>
        <w:ind w:left="360"/>
        <w:rPr>
          <w:rFonts w:ascii="Arial" w:hAnsi="Arial" w:cs="Arial"/>
          <w:sz w:val="24"/>
          <w:szCs w:val="24"/>
        </w:rPr>
      </w:pPr>
    </w:p>
    <w:p w14:paraId="11F9A10D" w14:textId="17103AB5" w:rsidR="008F4412" w:rsidRPr="002D2C06" w:rsidRDefault="002D2C06" w:rsidP="00DD66FD">
      <w:pPr>
        <w:pStyle w:val="ListParagraph"/>
        <w:numPr>
          <w:ilvl w:val="1"/>
          <w:numId w:val="2"/>
        </w:numPr>
        <w:spacing w:after="0" w:line="240" w:lineRule="auto"/>
        <w:rPr>
          <w:rFonts w:ascii="Arial" w:hAnsi="Arial" w:cs="Arial"/>
          <w:sz w:val="24"/>
          <w:szCs w:val="24"/>
        </w:rPr>
      </w:pPr>
      <w:r w:rsidRPr="002D2C06">
        <w:rPr>
          <w:rFonts w:ascii="Arial" w:hAnsi="Arial" w:cs="Arial"/>
          <w:sz w:val="24"/>
          <w:szCs w:val="24"/>
        </w:rPr>
        <w:t xml:space="preserve">Status of DOE Fire Safety Committee – Will </w:t>
      </w:r>
      <w:proofErr w:type="spellStart"/>
      <w:r w:rsidRPr="002D2C06">
        <w:rPr>
          <w:rFonts w:ascii="Arial" w:hAnsi="Arial" w:cs="Arial"/>
          <w:sz w:val="24"/>
          <w:szCs w:val="24"/>
        </w:rPr>
        <w:t>Cosey</w:t>
      </w:r>
      <w:proofErr w:type="spellEnd"/>
      <w:r w:rsidRPr="002D2C06">
        <w:rPr>
          <w:rFonts w:ascii="Arial" w:hAnsi="Arial" w:cs="Arial"/>
          <w:sz w:val="24"/>
          <w:szCs w:val="24"/>
        </w:rPr>
        <w:t xml:space="preserve">. Will was unable to attend the call in. </w:t>
      </w:r>
      <w:proofErr w:type="gramStart"/>
      <w:r w:rsidRPr="002D2C06">
        <w:rPr>
          <w:rFonts w:ascii="Arial" w:hAnsi="Arial" w:cs="Arial"/>
          <w:sz w:val="24"/>
          <w:szCs w:val="24"/>
        </w:rPr>
        <w:t>However</w:t>
      </w:r>
      <w:proofErr w:type="gramEnd"/>
      <w:r w:rsidRPr="002D2C06">
        <w:rPr>
          <w:rFonts w:ascii="Arial" w:hAnsi="Arial" w:cs="Arial"/>
          <w:sz w:val="24"/>
          <w:szCs w:val="24"/>
        </w:rPr>
        <w:t xml:space="preserve"> discussion was held in regards to the EFCOG Fire Protection Working Group participation in the NFSP Workshop. </w:t>
      </w:r>
    </w:p>
    <w:p w14:paraId="30A43C73" w14:textId="77777777" w:rsidR="00C774ED" w:rsidRPr="001C374C" w:rsidRDefault="00C774ED" w:rsidP="00C774ED">
      <w:pPr>
        <w:spacing w:after="0" w:line="240" w:lineRule="auto"/>
        <w:rPr>
          <w:rFonts w:ascii="Arial" w:hAnsi="Arial" w:cs="Arial"/>
          <w:sz w:val="24"/>
          <w:szCs w:val="24"/>
        </w:rPr>
      </w:pPr>
    </w:p>
    <w:p w14:paraId="621A13AF" w14:textId="6FC77A35" w:rsidR="003C1A9D" w:rsidRPr="003C1A9D" w:rsidRDefault="007D71F4" w:rsidP="003C1A9D">
      <w:pPr>
        <w:pStyle w:val="ListParagraph"/>
        <w:numPr>
          <w:ilvl w:val="1"/>
          <w:numId w:val="2"/>
        </w:numPr>
        <w:rPr>
          <w:rFonts w:ascii="Calibri" w:hAnsi="Calibri"/>
        </w:rPr>
      </w:pPr>
      <w:r>
        <w:rPr>
          <w:rFonts w:ascii="Arial" w:hAnsi="Arial" w:cs="Arial"/>
          <w:sz w:val="24"/>
          <w:szCs w:val="24"/>
        </w:rPr>
        <w:t xml:space="preserve">M. J. Cates provided information on a fire that occurred at the INL. Fire involved a “MARS 6” Microwave digestion system. Investigation is still underway. </w:t>
      </w:r>
    </w:p>
    <w:p w14:paraId="1D7212B1" w14:textId="77777777" w:rsidR="0041165B" w:rsidRPr="001C374C" w:rsidRDefault="0041165B" w:rsidP="0041165B">
      <w:pPr>
        <w:spacing w:after="0" w:line="240" w:lineRule="auto"/>
        <w:ind w:left="360"/>
        <w:rPr>
          <w:rFonts w:ascii="Arial" w:hAnsi="Arial" w:cs="Arial"/>
          <w:sz w:val="24"/>
          <w:szCs w:val="24"/>
        </w:rPr>
      </w:pPr>
    </w:p>
    <w:p w14:paraId="7EFD715D" w14:textId="6478C451" w:rsidR="00B447D9" w:rsidRDefault="007D71F4" w:rsidP="007D71F4">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 J. Cates provided a status of the </w:t>
      </w:r>
      <w:r w:rsidR="00C774ED" w:rsidRPr="001C374C">
        <w:rPr>
          <w:rFonts w:ascii="Arial" w:hAnsi="Arial" w:cs="Arial"/>
          <w:sz w:val="24"/>
          <w:szCs w:val="24"/>
        </w:rPr>
        <w:t xml:space="preserve">EFCOG </w:t>
      </w:r>
      <w:r w:rsidR="000C4681">
        <w:rPr>
          <w:rFonts w:ascii="Arial" w:hAnsi="Arial" w:cs="Arial"/>
          <w:sz w:val="24"/>
          <w:szCs w:val="24"/>
        </w:rPr>
        <w:t xml:space="preserve">Engineering Practices </w:t>
      </w:r>
      <w:r w:rsidR="00C774ED" w:rsidRPr="001C374C">
        <w:rPr>
          <w:rFonts w:ascii="Arial" w:hAnsi="Arial" w:cs="Arial"/>
          <w:sz w:val="24"/>
          <w:szCs w:val="24"/>
        </w:rPr>
        <w:t>Working Group Planned Activities for FY 2019 (</w:t>
      </w:r>
      <w:r w:rsidR="00D853C8">
        <w:rPr>
          <w:rFonts w:ascii="Arial" w:hAnsi="Arial" w:cs="Arial"/>
          <w:sz w:val="24"/>
          <w:szCs w:val="24"/>
        </w:rPr>
        <w:t>Below)</w:t>
      </w:r>
    </w:p>
    <w:p w14:paraId="4EB8284B" w14:textId="5DE73012" w:rsidR="00D853C8" w:rsidRDefault="00D853C8" w:rsidP="00D853C8">
      <w:pPr>
        <w:spacing w:after="0" w:line="240" w:lineRule="auto"/>
        <w:rPr>
          <w:rFonts w:ascii="Arial" w:hAnsi="Arial" w:cs="Arial"/>
          <w:sz w:val="24"/>
          <w:szCs w:val="24"/>
        </w:rPr>
      </w:pPr>
    </w:p>
    <w:p w14:paraId="092C1003" w14:textId="7A6F0506" w:rsidR="00D853C8" w:rsidRDefault="00D853C8" w:rsidP="00D853C8">
      <w:pPr>
        <w:spacing w:after="0" w:line="240" w:lineRule="auto"/>
        <w:rPr>
          <w:rFonts w:ascii="Arial" w:hAnsi="Arial" w:cs="Arial"/>
          <w:sz w:val="24"/>
          <w:szCs w:val="24"/>
        </w:rPr>
      </w:pPr>
    </w:p>
    <w:tbl>
      <w:tblPr>
        <w:tblStyle w:val="LightList-Accent11"/>
        <w:tblW w:w="5000" w:type="pct"/>
        <w:tblLook w:val="04A0" w:firstRow="1" w:lastRow="0" w:firstColumn="1" w:lastColumn="0" w:noHBand="0" w:noVBand="1"/>
      </w:tblPr>
      <w:tblGrid>
        <w:gridCol w:w="1591"/>
        <w:gridCol w:w="3286"/>
        <w:gridCol w:w="1799"/>
        <w:gridCol w:w="1592"/>
        <w:gridCol w:w="1072"/>
      </w:tblGrid>
      <w:tr w:rsidR="00D853C8" w:rsidRPr="009D03C3" w14:paraId="04FCF8CD" w14:textId="77777777" w:rsidTr="00234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 w:type="pct"/>
            <w:tcBorders>
              <w:bottom w:val="single" w:sz="8" w:space="0" w:color="4F81BD"/>
            </w:tcBorders>
            <w:vAlign w:val="center"/>
          </w:tcPr>
          <w:p w14:paraId="381DC2EF" w14:textId="77777777" w:rsidR="00D853C8" w:rsidRPr="009D03C3" w:rsidRDefault="00D853C8" w:rsidP="005E759F">
            <w:pPr>
              <w:jc w:val="center"/>
              <w:rPr>
                <w:rFonts w:ascii="Arial" w:hAnsi="Arial" w:cs="Arial"/>
                <w:lang w:bidi="ar-SA"/>
              </w:rPr>
            </w:pPr>
            <w:r w:rsidRPr="009D03C3">
              <w:rPr>
                <w:rFonts w:ascii="Arial" w:hAnsi="Arial" w:cs="Arial"/>
                <w:lang w:bidi="ar-SA"/>
              </w:rPr>
              <w:t>Activity</w:t>
            </w:r>
            <w:r>
              <w:rPr>
                <w:rFonts w:ascii="Arial" w:hAnsi="Arial" w:cs="Arial"/>
                <w:lang w:bidi="ar-SA"/>
              </w:rPr>
              <w:t>(s)</w:t>
            </w:r>
          </w:p>
        </w:tc>
        <w:tc>
          <w:tcPr>
            <w:tcW w:w="1759" w:type="pct"/>
            <w:tcBorders>
              <w:bottom w:val="single" w:sz="8" w:space="0" w:color="4F81BD"/>
            </w:tcBorders>
            <w:vAlign w:val="center"/>
          </w:tcPr>
          <w:p w14:paraId="68CC15C0" w14:textId="77777777" w:rsidR="00D853C8" w:rsidRPr="009D03C3" w:rsidRDefault="00D853C8" w:rsidP="005E75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9D03C3">
              <w:rPr>
                <w:rFonts w:ascii="Arial" w:hAnsi="Arial" w:cs="Arial"/>
                <w:lang w:bidi="ar-SA"/>
              </w:rPr>
              <w:t>Benefit</w:t>
            </w:r>
            <w:r>
              <w:rPr>
                <w:rFonts w:ascii="Arial" w:hAnsi="Arial" w:cs="Arial"/>
                <w:lang w:bidi="ar-SA"/>
              </w:rPr>
              <w:t>(s)</w:t>
            </w:r>
          </w:p>
        </w:tc>
        <w:tc>
          <w:tcPr>
            <w:tcW w:w="963" w:type="pct"/>
            <w:tcBorders>
              <w:bottom w:val="single" w:sz="8" w:space="0" w:color="4F81BD"/>
            </w:tcBorders>
            <w:vAlign w:val="center"/>
          </w:tcPr>
          <w:p w14:paraId="786B592A" w14:textId="77777777" w:rsidR="00D853C8" w:rsidRPr="009D03C3" w:rsidRDefault="00D853C8" w:rsidP="005E75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9D03C3">
              <w:rPr>
                <w:rFonts w:ascii="Arial" w:hAnsi="Arial" w:cs="Arial"/>
                <w:lang w:bidi="ar-SA"/>
              </w:rPr>
              <w:t>Deliverable/Key Milestone(s)</w:t>
            </w:r>
          </w:p>
        </w:tc>
        <w:tc>
          <w:tcPr>
            <w:tcW w:w="852" w:type="pct"/>
            <w:tcBorders>
              <w:bottom w:val="single" w:sz="8" w:space="0" w:color="4F81BD"/>
            </w:tcBorders>
            <w:vAlign w:val="center"/>
          </w:tcPr>
          <w:p w14:paraId="4948881C" w14:textId="77777777" w:rsidR="00D853C8" w:rsidRPr="009D03C3" w:rsidRDefault="00D853C8" w:rsidP="005E75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Lead</w:t>
            </w:r>
          </w:p>
        </w:tc>
        <w:tc>
          <w:tcPr>
            <w:tcW w:w="574" w:type="pct"/>
            <w:tcBorders>
              <w:bottom w:val="single" w:sz="8" w:space="0" w:color="4F81BD"/>
            </w:tcBorders>
            <w:vAlign w:val="center"/>
          </w:tcPr>
          <w:p w14:paraId="7E9A6AB7" w14:textId="77777777" w:rsidR="00D853C8" w:rsidRDefault="00D853C8" w:rsidP="005E75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Date</w:t>
            </w:r>
          </w:p>
        </w:tc>
      </w:tr>
      <w:tr w:rsidR="00D853C8" w:rsidRPr="009D03C3" w14:paraId="119EBC53" w14:textId="77777777" w:rsidTr="00234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6" w:type="pct"/>
            <w:gridSpan w:val="4"/>
            <w:shd w:val="clear" w:color="auto" w:fill="DDD9C3"/>
          </w:tcPr>
          <w:p w14:paraId="77E18FEF" w14:textId="77777777" w:rsidR="00D853C8" w:rsidRPr="00E51685" w:rsidRDefault="00D853C8" w:rsidP="005E759F">
            <w:pPr>
              <w:jc w:val="left"/>
              <w:rPr>
                <w:rFonts w:ascii="Arial" w:hAnsi="Arial" w:cs="Arial"/>
                <w:b w:val="0"/>
                <w:sz w:val="28"/>
                <w:lang w:bidi="ar-SA"/>
              </w:rPr>
            </w:pPr>
            <w:r>
              <w:rPr>
                <w:rFonts w:ascii="Arial" w:hAnsi="Arial" w:cs="Arial"/>
                <w:b w:val="0"/>
                <w:sz w:val="28"/>
                <w:lang w:bidi="ar-SA"/>
              </w:rPr>
              <w:t>1.0   Annual Summary</w:t>
            </w:r>
          </w:p>
        </w:tc>
        <w:tc>
          <w:tcPr>
            <w:tcW w:w="574" w:type="pct"/>
            <w:shd w:val="clear" w:color="auto" w:fill="DDD9C3"/>
          </w:tcPr>
          <w:p w14:paraId="235BBE42" w14:textId="77777777" w:rsidR="00D853C8" w:rsidRDefault="00D853C8" w:rsidP="005E759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8"/>
                <w:lang w:bidi="ar-SA"/>
              </w:rPr>
            </w:pPr>
          </w:p>
        </w:tc>
      </w:tr>
      <w:tr w:rsidR="00D853C8" w:rsidRPr="009D03C3" w14:paraId="59C4303D" w14:textId="77777777" w:rsidTr="00234384">
        <w:tc>
          <w:tcPr>
            <w:cnfStyle w:val="001000000000" w:firstRow="0" w:lastRow="0" w:firstColumn="1" w:lastColumn="0" w:oddVBand="0" w:evenVBand="0" w:oddHBand="0" w:evenHBand="0" w:firstRowFirstColumn="0" w:firstRowLastColumn="0" w:lastRowFirstColumn="0" w:lastRowLastColumn="0"/>
            <w:tcW w:w="852" w:type="pct"/>
            <w:tcBorders>
              <w:top w:val="single" w:sz="8" w:space="0" w:color="4F81BD"/>
              <w:bottom w:val="single" w:sz="8" w:space="0" w:color="4F81BD"/>
              <w:right w:val="single" w:sz="8" w:space="0" w:color="4F81BD"/>
            </w:tcBorders>
          </w:tcPr>
          <w:p w14:paraId="11AB8789" w14:textId="77777777" w:rsidR="00D853C8" w:rsidRPr="00E51685" w:rsidRDefault="00D853C8" w:rsidP="005E759F">
            <w:pPr>
              <w:jc w:val="left"/>
              <w:rPr>
                <w:rFonts w:ascii="Arial" w:hAnsi="Arial" w:cs="Arial"/>
                <w:b w:val="0"/>
                <w:lang w:bidi="ar-SA"/>
              </w:rPr>
            </w:pPr>
            <w:r w:rsidRPr="00E51685">
              <w:rPr>
                <w:rFonts w:ascii="Arial" w:hAnsi="Arial" w:cs="Arial"/>
                <w:b w:val="0"/>
                <w:lang w:bidi="ar-SA"/>
              </w:rPr>
              <w:t xml:space="preserve">1.1 </w:t>
            </w:r>
            <w:r>
              <w:rPr>
                <w:rFonts w:ascii="Arial" w:hAnsi="Arial" w:cs="Arial"/>
                <w:b w:val="0"/>
                <w:lang w:bidi="ar-SA"/>
              </w:rPr>
              <w:t xml:space="preserve">Issue Survey </w:t>
            </w:r>
          </w:p>
        </w:tc>
        <w:tc>
          <w:tcPr>
            <w:tcW w:w="1759" w:type="pct"/>
            <w:tcBorders>
              <w:top w:val="single" w:sz="8" w:space="0" w:color="4F81BD"/>
              <w:left w:val="single" w:sz="8" w:space="0" w:color="4F81BD"/>
              <w:bottom w:val="single" w:sz="8" w:space="0" w:color="4F81BD"/>
              <w:right w:val="single" w:sz="8" w:space="0" w:color="4F81BD"/>
            </w:tcBorders>
          </w:tcPr>
          <w:p w14:paraId="7C7B3BE7" w14:textId="77777777" w:rsidR="00D853C8" w:rsidRPr="00561B75" w:rsidRDefault="00D853C8" w:rsidP="005E759F">
            <w:pP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561B75">
              <w:rPr>
                <w:rFonts w:ascii="Arial" w:hAnsi="Arial" w:cs="Arial"/>
              </w:rPr>
              <w:t>The fire protection community (Federal and Contractor) has determined that some of the information that is required to be reported may be of little value and are looking at ways to make the summary report more useful and beneficial.</w:t>
            </w:r>
            <w:r>
              <w:rPr>
                <w:rFonts w:ascii="Arial" w:hAnsi="Arial" w:cs="Arial"/>
              </w:rPr>
              <w:t xml:space="preserve"> </w:t>
            </w:r>
            <w:r w:rsidRPr="00561B75">
              <w:rPr>
                <w:rFonts w:ascii="Arial" w:hAnsi="Arial" w:cs="Arial"/>
              </w:rPr>
              <w:t>The</w:t>
            </w:r>
            <w:r>
              <w:rPr>
                <w:rFonts w:ascii="Arial" w:hAnsi="Arial" w:cs="Arial"/>
              </w:rPr>
              <w:t xml:space="preserve"> </w:t>
            </w:r>
            <w:r w:rsidRPr="00561B75">
              <w:rPr>
                <w:rFonts w:ascii="Arial" w:hAnsi="Arial" w:cs="Arial"/>
              </w:rPr>
              <w:t>fire protection EFCOG assembled a task team, made up of Federal and Contractor fire protection professionals.  Their task is to determine who uses the information required by the reporting guide, for what purpose, what value it provides, and provide recommendations on possible revisions to the reporting guide based your feedback.</w:t>
            </w:r>
          </w:p>
          <w:p w14:paraId="1EB60268" w14:textId="77777777" w:rsidR="00D853C8" w:rsidRPr="00561B75" w:rsidRDefault="00D853C8" w:rsidP="005E759F">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963" w:type="pct"/>
            <w:tcBorders>
              <w:top w:val="single" w:sz="8" w:space="0" w:color="4F81BD"/>
              <w:left w:val="single" w:sz="8" w:space="0" w:color="4F81BD"/>
              <w:bottom w:val="single" w:sz="8" w:space="0" w:color="4F81BD"/>
              <w:right w:val="single" w:sz="8" w:space="0" w:color="4F81BD"/>
            </w:tcBorders>
          </w:tcPr>
          <w:p w14:paraId="4787226D" w14:textId="77777777" w:rsidR="00D853C8" w:rsidRPr="009D03C3" w:rsidRDefault="00D853C8" w:rsidP="005E759F">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Develop and send out a survey to the EFCOG Membership regarding the required contents of the annual summary.</w:t>
            </w:r>
            <w:r w:rsidRPr="009D03C3">
              <w:rPr>
                <w:rFonts w:ascii="Arial" w:hAnsi="Arial" w:cs="Arial"/>
                <w:lang w:bidi="ar-SA"/>
              </w:rPr>
              <w:t xml:space="preserve"> </w:t>
            </w:r>
          </w:p>
        </w:tc>
        <w:tc>
          <w:tcPr>
            <w:tcW w:w="852" w:type="pct"/>
            <w:tcBorders>
              <w:top w:val="single" w:sz="8" w:space="0" w:color="4F81BD"/>
              <w:left w:val="single" w:sz="8" w:space="0" w:color="4F81BD"/>
              <w:bottom w:val="single" w:sz="8" w:space="0" w:color="4F81BD"/>
            </w:tcBorders>
            <w:vAlign w:val="center"/>
          </w:tcPr>
          <w:p w14:paraId="264096DA" w14:textId="77777777" w:rsidR="00D853C8" w:rsidRPr="009D03C3" w:rsidRDefault="00D853C8"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Annual Summary Task Team</w:t>
            </w:r>
          </w:p>
        </w:tc>
        <w:tc>
          <w:tcPr>
            <w:tcW w:w="574" w:type="pct"/>
            <w:tcBorders>
              <w:top w:val="single" w:sz="8" w:space="0" w:color="4F81BD"/>
              <w:left w:val="single" w:sz="8" w:space="0" w:color="4F81BD"/>
              <w:bottom w:val="single" w:sz="8" w:space="0" w:color="4F81BD"/>
            </w:tcBorders>
          </w:tcPr>
          <w:p w14:paraId="16E7E836" w14:textId="77777777" w:rsidR="00D853C8" w:rsidRDefault="00D853C8"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Task Team Activities are Complete</w:t>
            </w:r>
          </w:p>
        </w:tc>
      </w:tr>
      <w:tr w:rsidR="00D853C8" w:rsidRPr="009D03C3" w14:paraId="5AC72A2F" w14:textId="77777777" w:rsidTr="005E7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67B7F15" w14:textId="77777777" w:rsidR="00D853C8" w:rsidRPr="00561B75" w:rsidRDefault="00D853C8" w:rsidP="005E759F">
            <w:pPr>
              <w:rPr>
                <w:rFonts w:ascii="Arial" w:hAnsi="Arial" w:cs="Arial"/>
                <w:b w:val="0"/>
                <w:sz w:val="28"/>
                <w:szCs w:val="28"/>
                <w:lang w:bidi="ar-SA"/>
              </w:rPr>
            </w:pPr>
            <w:r w:rsidRPr="00561B75">
              <w:rPr>
                <w:rFonts w:ascii="Arial" w:hAnsi="Arial" w:cs="Arial"/>
                <w:b w:val="0"/>
                <w:sz w:val="28"/>
                <w:szCs w:val="28"/>
                <w:lang w:bidi="ar-SA"/>
              </w:rPr>
              <w:lastRenderedPageBreak/>
              <w:t xml:space="preserve">2.0 </w:t>
            </w:r>
            <w:r>
              <w:rPr>
                <w:rFonts w:ascii="Arial" w:hAnsi="Arial" w:cs="Arial"/>
                <w:b w:val="0"/>
                <w:sz w:val="28"/>
                <w:szCs w:val="28"/>
                <w:lang w:bidi="ar-SA"/>
              </w:rPr>
              <w:t>Combustible loading Best Practices</w:t>
            </w:r>
          </w:p>
        </w:tc>
      </w:tr>
      <w:tr w:rsidR="00D853C8" w:rsidRPr="009D03C3" w14:paraId="67379C54" w14:textId="77777777" w:rsidTr="00234384">
        <w:tc>
          <w:tcPr>
            <w:cnfStyle w:val="001000000000" w:firstRow="0" w:lastRow="0" w:firstColumn="1" w:lastColumn="0" w:oddVBand="0" w:evenVBand="0" w:oddHBand="0" w:evenHBand="0" w:firstRowFirstColumn="0" w:firstRowLastColumn="0" w:lastRowFirstColumn="0" w:lastRowLastColumn="0"/>
            <w:tcW w:w="852" w:type="pct"/>
            <w:tcBorders>
              <w:right w:val="single" w:sz="8" w:space="0" w:color="4F81BD"/>
            </w:tcBorders>
          </w:tcPr>
          <w:p w14:paraId="25AA39F2" w14:textId="77777777" w:rsidR="00D853C8" w:rsidRDefault="00D853C8" w:rsidP="005E759F">
            <w:pPr>
              <w:jc w:val="left"/>
              <w:rPr>
                <w:rFonts w:ascii="Arial" w:hAnsi="Arial" w:cs="Arial"/>
                <w:bCs w:val="0"/>
                <w:lang w:bidi="ar-SA"/>
              </w:rPr>
            </w:pPr>
            <w:r>
              <w:rPr>
                <w:rFonts w:ascii="Arial" w:hAnsi="Arial" w:cs="Arial"/>
                <w:b w:val="0"/>
                <w:lang w:bidi="ar-SA"/>
              </w:rPr>
              <w:t>2.0 EFCOG Best Practices</w:t>
            </w:r>
          </w:p>
          <w:p w14:paraId="0E7DCFD6" w14:textId="77777777" w:rsidR="00D853C8" w:rsidRPr="00056486" w:rsidRDefault="00D853C8" w:rsidP="005E759F">
            <w:pPr>
              <w:jc w:val="left"/>
              <w:rPr>
                <w:rFonts w:ascii="Arial" w:hAnsi="Arial" w:cs="Arial"/>
                <w:bCs w:val="0"/>
                <w:lang w:bidi="ar-SA"/>
              </w:rPr>
            </w:pPr>
            <w:r>
              <w:rPr>
                <w:rFonts w:ascii="Arial" w:hAnsi="Arial" w:cs="Arial"/>
                <w:b w:val="0"/>
                <w:lang w:bidi="ar-SA"/>
              </w:rPr>
              <w:t>.</w:t>
            </w:r>
          </w:p>
        </w:tc>
        <w:tc>
          <w:tcPr>
            <w:tcW w:w="1759" w:type="pct"/>
            <w:tcBorders>
              <w:left w:val="single" w:sz="8" w:space="0" w:color="4F81BD"/>
              <w:right w:val="single" w:sz="8" w:space="0" w:color="4F81BD"/>
            </w:tcBorders>
          </w:tcPr>
          <w:p w14:paraId="0B9AECD5" w14:textId="77777777" w:rsidR="00D853C8" w:rsidRPr="00056486" w:rsidRDefault="00D853C8" w:rsidP="005E759F">
            <w:pPr>
              <w:tabs>
                <w:tab w:val="left" w:pos="1065"/>
              </w:tabs>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t xml:space="preserve">The Energy Facility Contractors Group (EFCOG) Nuclear and Facility Safety Subgroup believes that the recommendations establish a quantitative basis for determining an acceptable CLL in relation to structure, system, and component (SSC) capabilities. The NNSS Management and Operations (M&amp;O) contractor, </w:t>
            </w:r>
            <w:r>
              <w:rPr>
                <w:noProof/>
              </w:rPr>
              <w:t>National Security Technologies, LLC, recognizes that the CLL enables more mission activities and facility usage while providing a conservative and quantitiative basis for the CLL.</w:t>
            </w:r>
          </w:p>
        </w:tc>
        <w:tc>
          <w:tcPr>
            <w:tcW w:w="963" w:type="pct"/>
            <w:tcBorders>
              <w:left w:val="single" w:sz="8" w:space="0" w:color="4F81BD"/>
              <w:right w:val="single" w:sz="8" w:space="0" w:color="4F81BD"/>
            </w:tcBorders>
          </w:tcPr>
          <w:p w14:paraId="517C61AC" w14:textId="77777777" w:rsidR="00D853C8" w:rsidRPr="009D03C3" w:rsidRDefault="00D853C8" w:rsidP="005E759F">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 xml:space="preserve">Best Practice paper added to EFCOG FP Library.  </w:t>
            </w:r>
          </w:p>
        </w:tc>
        <w:tc>
          <w:tcPr>
            <w:tcW w:w="852" w:type="pct"/>
            <w:tcBorders>
              <w:left w:val="single" w:sz="8" w:space="0" w:color="4F81BD"/>
            </w:tcBorders>
            <w:vAlign w:val="center"/>
          </w:tcPr>
          <w:p w14:paraId="2BBBE977" w14:textId="77777777" w:rsidR="00D853C8" w:rsidRPr="009D03C3" w:rsidRDefault="00D853C8"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Ronald Beaulieu</w:t>
            </w:r>
          </w:p>
        </w:tc>
        <w:tc>
          <w:tcPr>
            <w:tcW w:w="574" w:type="pct"/>
            <w:tcBorders>
              <w:left w:val="single" w:sz="8" w:space="0" w:color="4F81BD"/>
            </w:tcBorders>
          </w:tcPr>
          <w:p w14:paraId="62F835DF" w14:textId="77777777" w:rsidR="00D853C8" w:rsidRDefault="00D853C8"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 xml:space="preserve">Complete </w:t>
            </w:r>
          </w:p>
        </w:tc>
      </w:tr>
      <w:tr w:rsidR="00234384" w:rsidRPr="009D03C3" w14:paraId="3F39CEDE" w14:textId="77777777" w:rsidTr="00234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8A5E472" w14:textId="269A0B68" w:rsidR="00234384" w:rsidRDefault="00234384" w:rsidP="00234384">
            <w:pPr>
              <w:rPr>
                <w:rFonts w:ascii="Arial" w:hAnsi="Arial" w:cs="Arial"/>
                <w:lang w:bidi="ar-SA"/>
              </w:rPr>
            </w:pPr>
            <w:r>
              <w:rPr>
                <w:rFonts w:ascii="Arial" w:hAnsi="Arial" w:cs="Arial"/>
                <w:lang w:bidi="ar-SA"/>
              </w:rPr>
              <w:t>3.0 NFPA Code Review</w:t>
            </w:r>
          </w:p>
        </w:tc>
      </w:tr>
      <w:tr w:rsidR="00D853C8" w:rsidRPr="009D03C3" w14:paraId="5B9368DF" w14:textId="77777777" w:rsidTr="00234384">
        <w:tc>
          <w:tcPr>
            <w:cnfStyle w:val="001000000000" w:firstRow="0" w:lastRow="0" w:firstColumn="1" w:lastColumn="0" w:oddVBand="0" w:evenVBand="0" w:oddHBand="0" w:evenHBand="0" w:firstRowFirstColumn="0" w:firstRowLastColumn="0" w:lastRowFirstColumn="0" w:lastRowLastColumn="0"/>
            <w:tcW w:w="852" w:type="pct"/>
            <w:tcBorders>
              <w:right w:val="single" w:sz="8" w:space="0" w:color="4F81BD"/>
            </w:tcBorders>
          </w:tcPr>
          <w:p w14:paraId="5B752711" w14:textId="349249EF" w:rsidR="00D853C8" w:rsidRDefault="00D853C8" w:rsidP="005E759F">
            <w:pPr>
              <w:jc w:val="left"/>
              <w:rPr>
                <w:rFonts w:ascii="Arial" w:hAnsi="Arial" w:cs="Arial"/>
                <w:b w:val="0"/>
                <w:lang w:bidi="ar-SA"/>
              </w:rPr>
            </w:pPr>
            <w:r>
              <w:rPr>
                <w:rFonts w:ascii="Arial" w:hAnsi="Arial" w:cs="Arial"/>
                <w:b w:val="0"/>
                <w:lang w:bidi="ar-SA"/>
              </w:rPr>
              <w:t>3.0 NFPA Code Reviews</w:t>
            </w:r>
          </w:p>
        </w:tc>
        <w:tc>
          <w:tcPr>
            <w:tcW w:w="1759" w:type="pct"/>
            <w:tcBorders>
              <w:left w:val="single" w:sz="8" w:space="0" w:color="4F81BD"/>
              <w:right w:val="single" w:sz="8" w:space="0" w:color="4F81BD"/>
            </w:tcBorders>
          </w:tcPr>
          <w:p w14:paraId="3868AE3D" w14:textId="1092A2AE" w:rsidR="00D853C8" w:rsidRDefault="00234384" w:rsidP="005E759F">
            <w:pPr>
              <w:tabs>
                <w:tab w:val="left" w:pos="1065"/>
              </w:tabs>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All new revisions to applicable NFPA code are required to be reviewed. This shares the load.</w:t>
            </w:r>
          </w:p>
        </w:tc>
        <w:tc>
          <w:tcPr>
            <w:tcW w:w="963" w:type="pct"/>
            <w:tcBorders>
              <w:left w:val="single" w:sz="8" w:space="0" w:color="4F81BD"/>
              <w:right w:val="single" w:sz="8" w:space="0" w:color="4F81BD"/>
            </w:tcBorders>
          </w:tcPr>
          <w:p w14:paraId="22F125B1" w14:textId="3CECA531" w:rsidR="00D853C8" w:rsidRDefault="00234384" w:rsidP="005E759F">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Documents published to EFCOG FP Library</w:t>
            </w:r>
          </w:p>
        </w:tc>
        <w:tc>
          <w:tcPr>
            <w:tcW w:w="852" w:type="pct"/>
            <w:tcBorders>
              <w:left w:val="single" w:sz="8" w:space="0" w:color="4F81BD"/>
            </w:tcBorders>
            <w:vAlign w:val="center"/>
          </w:tcPr>
          <w:p w14:paraId="183FAE60" w14:textId="77777777" w:rsidR="00D853C8" w:rsidRDefault="00D853C8"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574" w:type="pct"/>
            <w:tcBorders>
              <w:left w:val="single" w:sz="8" w:space="0" w:color="4F81BD"/>
            </w:tcBorders>
          </w:tcPr>
          <w:p w14:paraId="5E115FC1" w14:textId="21CC52C9" w:rsidR="00D853C8" w:rsidRDefault="00234384" w:rsidP="005E75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Needs Attention</w:t>
            </w:r>
          </w:p>
        </w:tc>
      </w:tr>
      <w:tr w:rsidR="00D853C8" w:rsidRPr="009D03C3" w14:paraId="6FC729DF" w14:textId="77777777" w:rsidTr="00234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Borders>
              <w:right w:val="single" w:sz="8" w:space="0" w:color="4F81BD"/>
            </w:tcBorders>
          </w:tcPr>
          <w:p w14:paraId="412B1338" w14:textId="77777777" w:rsidR="00D853C8" w:rsidRDefault="00D853C8" w:rsidP="005E759F">
            <w:pPr>
              <w:jc w:val="left"/>
              <w:rPr>
                <w:rFonts w:ascii="Arial" w:hAnsi="Arial" w:cs="Arial"/>
                <w:b w:val="0"/>
                <w:lang w:bidi="ar-SA"/>
              </w:rPr>
            </w:pPr>
          </w:p>
        </w:tc>
        <w:tc>
          <w:tcPr>
            <w:tcW w:w="1759" w:type="pct"/>
            <w:tcBorders>
              <w:left w:val="single" w:sz="8" w:space="0" w:color="4F81BD"/>
              <w:right w:val="single" w:sz="8" w:space="0" w:color="4F81BD"/>
            </w:tcBorders>
          </w:tcPr>
          <w:p w14:paraId="2C8D2DE0" w14:textId="77777777" w:rsidR="00D853C8" w:rsidRDefault="00D853C8" w:rsidP="005E759F">
            <w:pPr>
              <w:tabs>
                <w:tab w:val="left" w:pos="1065"/>
              </w:tabs>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c>
          <w:tcPr>
            <w:tcW w:w="963" w:type="pct"/>
            <w:tcBorders>
              <w:left w:val="single" w:sz="8" w:space="0" w:color="4F81BD"/>
              <w:right w:val="single" w:sz="8" w:space="0" w:color="4F81BD"/>
            </w:tcBorders>
          </w:tcPr>
          <w:p w14:paraId="3F25BEBF" w14:textId="77777777" w:rsidR="00D853C8" w:rsidRDefault="00D853C8" w:rsidP="005E759F">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c>
          <w:tcPr>
            <w:tcW w:w="852" w:type="pct"/>
            <w:tcBorders>
              <w:left w:val="single" w:sz="8" w:space="0" w:color="4F81BD"/>
            </w:tcBorders>
            <w:vAlign w:val="center"/>
          </w:tcPr>
          <w:p w14:paraId="26136D18" w14:textId="77777777" w:rsidR="00D853C8" w:rsidRDefault="00D853C8" w:rsidP="005E759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c>
          <w:tcPr>
            <w:tcW w:w="574" w:type="pct"/>
            <w:tcBorders>
              <w:left w:val="single" w:sz="8" w:space="0" w:color="4F81BD"/>
            </w:tcBorders>
          </w:tcPr>
          <w:p w14:paraId="524D050A" w14:textId="77777777" w:rsidR="00D853C8" w:rsidRDefault="00D853C8" w:rsidP="005E759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bl>
    <w:p w14:paraId="1020B164" w14:textId="514206B2" w:rsidR="00D853C8" w:rsidRDefault="00D853C8" w:rsidP="00D853C8">
      <w:pPr>
        <w:spacing w:after="0" w:line="240" w:lineRule="auto"/>
        <w:rPr>
          <w:rFonts w:ascii="Arial" w:hAnsi="Arial" w:cs="Arial"/>
          <w:sz w:val="24"/>
          <w:szCs w:val="24"/>
        </w:rPr>
      </w:pPr>
    </w:p>
    <w:p w14:paraId="6D07AB6F" w14:textId="5A48BA2F" w:rsidR="00D853C8" w:rsidRDefault="00D853C8" w:rsidP="00D853C8">
      <w:pPr>
        <w:spacing w:after="0" w:line="240" w:lineRule="auto"/>
        <w:rPr>
          <w:rFonts w:ascii="Arial" w:hAnsi="Arial" w:cs="Arial"/>
          <w:sz w:val="24"/>
          <w:szCs w:val="24"/>
        </w:rPr>
      </w:pPr>
    </w:p>
    <w:p w14:paraId="331B7677" w14:textId="3F9C8175" w:rsidR="00D853C8" w:rsidRDefault="00D853C8" w:rsidP="00D853C8">
      <w:pPr>
        <w:spacing w:after="0" w:line="240" w:lineRule="auto"/>
        <w:rPr>
          <w:rFonts w:ascii="Arial" w:hAnsi="Arial" w:cs="Arial"/>
          <w:sz w:val="24"/>
          <w:szCs w:val="24"/>
        </w:rPr>
      </w:pPr>
    </w:p>
    <w:p w14:paraId="721F3141" w14:textId="31B17CF4" w:rsidR="00D853C8" w:rsidRDefault="00D853C8" w:rsidP="00D853C8">
      <w:pPr>
        <w:spacing w:after="0" w:line="240" w:lineRule="auto"/>
        <w:rPr>
          <w:rFonts w:ascii="Arial" w:hAnsi="Arial" w:cs="Arial"/>
          <w:sz w:val="24"/>
          <w:szCs w:val="24"/>
        </w:rPr>
      </w:pPr>
    </w:p>
    <w:p w14:paraId="01137DAD" w14:textId="63C911F0" w:rsidR="00D853C8" w:rsidRDefault="00D853C8" w:rsidP="00D853C8">
      <w:pPr>
        <w:spacing w:after="0" w:line="240" w:lineRule="auto"/>
        <w:rPr>
          <w:rFonts w:ascii="Arial" w:hAnsi="Arial" w:cs="Arial"/>
          <w:sz w:val="24"/>
          <w:szCs w:val="24"/>
        </w:rPr>
      </w:pPr>
    </w:p>
    <w:p w14:paraId="33C217F4" w14:textId="77777777" w:rsidR="00D853C8" w:rsidRPr="00D853C8" w:rsidRDefault="00D853C8" w:rsidP="00D853C8">
      <w:pPr>
        <w:spacing w:after="0" w:line="240" w:lineRule="auto"/>
        <w:rPr>
          <w:rFonts w:ascii="Arial" w:hAnsi="Arial" w:cs="Arial"/>
          <w:sz w:val="24"/>
          <w:szCs w:val="24"/>
        </w:rPr>
      </w:pPr>
    </w:p>
    <w:p w14:paraId="7312AF46" w14:textId="77777777" w:rsidR="00CF4F71" w:rsidRPr="00AD0E1A" w:rsidRDefault="00CF4F71" w:rsidP="00C274FA">
      <w:pPr>
        <w:rPr>
          <w:vanish/>
        </w:rPr>
      </w:pPr>
    </w:p>
    <w:sectPr w:rsidR="00CF4F71" w:rsidRPr="00AD0E1A" w:rsidSect="00C274FA">
      <w:headerReference w:type="first" r:id="rId8"/>
      <w:footerReference w:type="firs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CAF3" w14:textId="77777777" w:rsidR="006C41D7" w:rsidRDefault="006C41D7" w:rsidP="00AC3E3F">
      <w:pPr>
        <w:spacing w:after="0" w:line="240" w:lineRule="auto"/>
      </w:pPr>
      <w:r>
        <w:separator/>
      </w:r>
    </w:p>
  </w:endnote>
  <w:endnote w:type="continuationSeparator" w:id="0">
    <w:p w14:paraId="2C697DA6" w14:textId="77777777" w:rsidR="006C41D7" w:rsidRDefault="006C41D7" w:rsidP="00AC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04C5" w14:textId="77777777" w:rsidR="00DD66FD" w:rsidRDefault="00DD2227" w:rsidP="00DD66FD">
    <w:pPr>
      <w:pStyle w:val="Footer"/>
      <w:pBdr>
        <w:top w:val="single" w:sz="4" w:space="1" w:color="auto"/>
      </w:pBdr>
      <w:tabs>
        <w:tab w:val="clear" w:pos="4320"/>
        <w:tab w:val="clear" w:pos="9480"/>
        <w:tab w:val="left" w:pos="12870"/>
      </w:tabs>
      <w:spacing w:before="0"/>
      <w:ind w:left="0" w:right="0"/>
      <w:jc w:val="left"/>
      <w:rPr>
        <w:sz w:val="18"/>
      </w:rPr>
    </w:pPr>
    <w:r>
      <w:rPr>
        <w:rStyle w:val="PageNumber"/>
        <w:sz w:val="18"/>
      </w:rPr>
      <w:t>FY2014 annual report to the MEMBERS</w:t>
    </w:r>
    <w:r>
      <w:rPr>
        <w:rStyle w:val="PageNumbe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6DED" w14:textId="77777777" w:rsidR="006C41D7" w:rsidRDefault="006C41D7" w:rsidP="00AC3E3F">
      <w:pPr>
        <w:spacing w:after="0" w:line="240" w:lineRule="auto"/>
      </w:pPr>
      <w:r>
        <w:separator/>
      </w:r>
    </w:p>
  </w:footnote>
  <w:footnote w:type="continuationSeparator" w:id="0">
    <w:p w14:paraId="20EEBC04" w14:textId="77777777" w:rsidR="006C41D7" w:rsidRDefault="006C41D7" w:rsidP="00AC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BCCE" w14:textId="77777777" w:rsidR="00DD66FD" w:rsidRPr="001C51DE" w:rsidRDefault="00DD2227" w:rsidP="00DD66FD">
    <w:pPr>
      <w:pStyle w:val="Header"/>
      <w:tabs>
        <w:tab w:val="left" w:pos="4845"/>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348"/>
    <w:multiLevelType w:val="hybridMultilevel"/>
    <w:tmpl w:val="F8C0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0CC"/>
    <w:multiLevelType w:val="hybridMultilevel"/>
    <w:tmpl w:val="D07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5B4D"/>
    <w:multiLevelType w:val="hybridMultilevel"/>
    <w:tmpl w:val="CFA0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A6152"/>
    <w:multiLevelType w:val="hybridMultilevel"/>
    <w:tmpl w:val="94A2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E0E8A"/>
    <w:multiLevelType w:val="hybridMultilevel"/>
    <w:tmpl w:val="17660906"/>
    <w:lvl w:ilvl="0" w:tplc="B254F05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15"/>
        </w:tabs>
        <w:ind w:left="2115" w:hanging="360"/>
      </w:pPr>
    </w:lvl>
    <w:lvl w:ilvl="3" w:tplc="04090001">
      <w:start w:val="1"/>
      <w:numFmt w:val="decimal"/>
      <w:lvlText w:val="%4."/>
      <w:lvlJc w:val="left"/>
      <w:pPr>
        <w:tabs>
          <w:tab w:val="num" w:pos="2835"/>
        </w:tabs>
        <w:ind w:left="2835" w:hanging="360"/>
      </w:pPr>
    </w:lvl>
    <w:lvl w:ilvl="4" w:tplc="04090003">
      <w:start w:val="1"/>
      <w:numFmt w:val="decimal"/>
      <w:lvlText w:val="%5."/>
      <w:lvlJc w:val="left"/>
      <w:pPr>
        <w:tabs>
          <w:tab w:val="num" w:pos="3555"/>
        </w:tabs>
        <w:ind w:left="3555" w:hanging="360"/>
      </w:pPr>
    </w:lvl>
    <w:lvl w:ilvl="5" w:tplc="04090005">
      <w:start w:val="1"/>
      <w:numFmt w:val="decimal"/>
      <w:lvlText w:val="%6."/>
      <w:lvlJc w:val="left"/>
      <w:pPr>
        <w:tabs>
          <w:tab w:val="num" w:pos="4275"/>
        </w:tabs>
        <w:ind w:left="4275" w:hanging="360"/>
      </w:pPr>
    </w:lvl>
    <w:lvl w:ilvl="6" w:tplc="04090001">
      <w:start w:val="1"/>
      <w:numFmt w:val="decimal"/>
      <w:lvlText w:val="%7."/>
      <w:lvlJc w:val="left"/>
      <w:pPr>
        <w:tabs>
          <w:tab w:val="num" w:pos="4995"/>
        </w:tabs>
        <w:ind w:left="4995" w:hanging="360"/>
      </w:pPr>
    </w:lvl>
    <w:lvl w:ilvl="7" w:tplc="04090003">
      <w:start w:val="1"/>
      <w:numFmt w:val="decimal"/>
      <w:lvlText w:val="%8."/>
      <w:lvlJc w:val="left"/>
      <w:pPr>
        <w:tabs>
          <w:tab w:val="num" w:pos="5715"/>
        </w:tabs>
        <w:ind w:left="5715" w:hanging="360"/>
      </w:pPr>
    </w:lvl>
    <w:lvl w:ilvl="8" w:tplc="04090005">
      <w:start w:val="1"/>
      <w:numFmt w:val="decimal"/>
      <w:lvlText w:val="%9."/>
      <w:lvlJc w:val="left"/>
      <w:pPr>
        <w:tabs>
          <w:tab w:val="num" w:pos="6435"/>
        </w:tabs>
        <w:ind w:left="6435" w:hanging="360"/>
      </w:pPr>
    </w:lvl>
  </w:abstractNum>
  <w:abstractNum w:abstractNumId="5" w15:restartNumberingAfterBreak="0">
    <w:nsid w:val="3FD4655F"/>
    <w:multiLevelType w:val="hybridMultilevel"/>
    <w:tmpl w:val="557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70969"/>
    <w:multiLevelType w:val="hybridMultilevel"/>
    <w:tmpl w:val="88E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3F"/>
    <w:rsid w:val="00006902"/>
    <w:rsid w:val="00007E61"/>
    <w:rsid w:val="00010DCA"/>
    <w:rsid w:val="00014CA1"/>
    <w:rsid w:val="00071E0E"/>
    <w:rsid w:val="000A1CC6"/>
    <w:rsid w:val="000C4681"/>
    <w:rsid w:val="000F1DE9"/>
    <w:rsid w:val="001411A0"/>
    <w:rsid w:val="001517E6"/>
    <w:rsid w:val="00175F3C"/>
    <w:rsid w:val="001777A9"/>
    <w:rsid w:val="001C139F"/>
    <w:rsid w:val="001C374C"/>
    <w:rsid w:val="001F352E"/>
    <w:rsid w:val="001F3AAD"/>
    <w:rsid w:val="001F718E"/>
    <w:rsid w:val="00232B37"/>
    <w:rsid w:val="00234384"/>
    <w:rsid w:val="002D2C06"/>
    <w:rsid w:val="002D4AFA"/>
    <w:rsid w:val="002D73DD"/>
    <w:rsid w:val="0033646D"/>
    <w:rsid w:val="003975B7"/>
    <w:rsid w:val="003C1A9D"/>
    <w:rsid w:val="003D39BD"/>
    <w:rsid w:val="003F7CFC"/>
    <w:rsid w:val="0041165B"/>
    <w:rsid w:val="00440874"/>
    <w:rsid w:val="004A086B"/>
    <w:rsid w:val="004B6901"/>
    <w:rsid w:val="004D0F82"/>
    <w:rsid w:val="0050791C"/>
    <w:rsid w:val="005A0CE8"/>
    <w:rsid w:val="005A4B09"/>
    <w:rsid w:val="005A53BB"/>
    <w:rsid w:val="005D09D3"/>
    <w:rsid w:val="005D5710"/>
    <w:rsid w:val="005E0E1C"/>
    <w:rsid w:val="005F40E8"/>
    <w:rsid w:val="0061794A"/>
    <w:rsid w:val="00622A2D"/>
    <w:rsid w:val="006357C1"/>
    <w:rsid w:val="00640532"/>
    <w:rsid w:val="00667085"/>
    <w:rsid w:val="006A59D1"/>
    <w:rsid w:val="006B26DC"/>
    <w:rsid w:val="006C41D7"/>
    <w:rsid w:val="006D29E9"/>
    <w:rsid w:val="00752898"/>
    <w:rsid w:val="00756E5E"/>
    <w:rsid w:val="00772196"/>
    <w:rsid w:val="007D7005"/>
    <w:rsid w:val="007D71F4"/>
    <w:rsid w:val="00815864"/>
    <w:rsid w:val="00830367"/>
    <w:rsid w:val="00874108"/>
    <w:rsid w:val="00893A21"/>
    <w:rsid w:val="008A46C4"/>
    <w:rsid w:val="008F4412"/>
    <w:rsid w:val="009024F5"/>
    <w:rsid w:val="00903D10"/>
    <w:rsid w:val="009305EA"/>
    <w:rsid w:val="009C183A"/>
    <w:rsid w:val="00A11548"/>
    <w:rsid w:val="00A45F25"/>
    <w:rsid w:val="00A616CE"/>
    <w:rsid w:val="00AA4FB8"/>
    <w:rsid w:val="00AC3E3F"/>
    <w:rsid w:val="00AD0E1A"/>
    <w:rsid w:val="00AF1CCB"/>
    <w:rsid w:val="00B447D9"/>
    <w:rsid w:val="00B6605A"/>
    <w:rsid w:val="00B73401"/>
    <w:rsid w:val="00BC23B9"/>
    <w:rsid w:val="00C01FF4"/>
    <w:rsid w:val="00C274FA"/>
    <w:rsid w:val="00C61BAA"/>
    <w:rsid w:val="00C66C20"/>
    <w:rsid w:val="00C76EB9"/>
    <w:rsid w:val="00C774ED"/>
    <w:rsid w:val="00CD2CDE"/>
    <w:rsid w:val="00CD581B"/>
    <w:rsid w:val="00CF28F0"/>
    <w:rsid w:val="00CF4F71"/>
    <w:rsid w:val="00D10E29"/>
    <w:rsid w:val="00D20E0D"/>
    <w:rsid w:val="00D46CFE"/>
    <w:rsid w:val="00D54650"/>
    <w:rsid w:val="00D57ACE"/>
    <w:rsid w:val="00D853C8"/>
    <w:rsid w:val="00D94BE0"/>
    <w:rsid w:val="00DD2227"/>
    <w:rsid w:val="00DD66FD"/>
    <w:rsid w:val="00E05D8E"/>
    <w:rsid w:val="00E73373"/>
    <w:rsid w:val="00E8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271D"/>
  <w15:docId w15:val="{D3AFAD47-9A93-4A76-85C8-D17C69B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3F"/>
    <w:pPr>
      <w:jc w:val="both"/>
    </w:pPr>
    <w:rPr>
      <w:rFonts w:ascii="Franklin Gothic Book" w:eastAsia="Times New Roman" w:hAnsi="Franklin Gothic Book" w:cs="Times New Roman"/>
      <w:sz w:val="20"/>
      <w:szCs w:val="20"/>
      <w:lang w:bidi="en-US"/>
    </w:rPr>
  </w:style>
  <w:style w:type="paragraph" w:styleId="Heading1">
    <w:name w:val="heading 1"/>
    <w:basedOn w:val="Normal"/>
    <w:next w:val="Normal"/>
    <w:link w:val="Heading1Char"/>
    <w:uiPriority w:val="9"/>
    <w:qFormat/>
    <w:rsid w:val="001F3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3F"/>
    <w:pPr>
      <w:keepLines/>
      <w:tabs>
        <w:tab w:val="center" w:pos="4320"/>
        <w:tab w:val="right" w:pos="9480"/>
      </w:tabs>
      <w:spacing w:before="600" w:after="0"/>
      <w:ind w:left="-840" w:right="-840"/>
      <w:jc w:val="center"/>
    </w:pPr>
    <w:rPr>
      <w:caps/>
      <w:spacing w:val="15"/>
      <w:sz w:val="24"/>
    </w:rPr>
  </w:style>
  <w:style w:type="character" w:customStyle="1" w:styleId="FooterChar">
    <w:name w:val="Footer Char"/>
    <w:basedOn w:val="DefaultParagraphFont"/>
    <w:link w:val="Footer"/>
    <w:uiPriority w:val="99"/>
    <w:rsid w:val="00AC3E3F"/>
    <w:rPr>
      <w:rFonts w:ascii="Franklin Gothic Book" w:eastAsia="Times New Roman" w:hAnsi="Franklin Gothic Book" w:cs="Times New Roman"/>
      <w:caps/>
      <w:spacing w:val="15"/>
      <w:sz w:val="24"/>
      <w:szCs w:val="20"/>
      <w:lang w:bidi="en-US"/>
    </w:rPr>
  </w:style>
  <w:style w:type="paragraph" w:styleId="Header">
    <w:name w:val="header"/>
    <w:basedOn w:val="Normal"/>
    <w:link w:val="HeaderChar"/>
    <w:uiPriority w:val="99"/>
    <w:rsid w:val="00AC3E3F"/>
    <w:pPr>
      <w:keepLines/>
      <w:tabs>
        <w:tab w:val="center" w:pos="4320"/>
        <w:tab w:val="right" w:pos="8640"/>
      </w:tabs>
      <w:spacing w:after="480"/>
      <w:jc w:val="center"/>
    </w:pPr>
    <w:rPr>
      <w:caps/>
      <w:spacing w:val="15"/>
      <w:sz w:val="18"/>
    </w:rPr>
  </w:style>
  <w:style w:type="character" w:customStyle="1" w:styleId="HeaderChar">
    <w:name w:val="Header Char"/>
    <w:basedOn w:val="DefaultParagraphFont"/>
    <w:link w:val="Header"/>
    <w:uiPriority w:val="99"/>
    <w:rsid w:val="00AC3E3F"/>
    <w:rPr>
      <w:rFonts w:ascii="Franklin Gothic Book" w:eastAsia="Times New Roman" w:hAnsi="Franklin Gothic Book" w:cs="Times New Roman"/>
      <w:caps/>
      <w:spacing w:val="15"/>
      <w:sz w:val="18"/>
      <w:szCs w:val="20"/>
      <w:lang w:bidi="en-US"/>
    </w:rPr>
  </w:style>
  <w:style w:type="character" w:styleId="PageNumber">
    <w:name w:val="page number"/>
    <w:rsid w:val="00AC3E3F"/>
    <w:rPr>
      <w:sz w:val="24"/>
    </w:rPr>
  </w:style>
  <w:style w:type="table" w:customStyle="1" w:styleId="LightList-Accent11">
    <w:name w:val="Light List - Accent 11"/>
    <w:basedOn w:val="TableNormal"/>
    <w:next w:val="LightList-Accent1"/>
    <w:uiPriority w:val="61"/>
    <w:rsid w:val="00AC3E3F"/>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AC3E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10E29"/>
    <w:pPr>
      <w:ind w:left="720"/>
      <w:contextualSpacing/>
      <w:jc w:val="left"/>
    </w:pPr>
    <w:rPr>
      <w:rFonts w:eastAsiaTheme="minorHAnsi" w:cstheme="minorBidi"/>
      <w:sz w:val="22"/>
      <w:szCs w:val="22"/>
      <w:lang w:bidi="ar-SA"/>
    </w:rPr>
  </w:style>
  <w:style w:type="paragraph" w:styleId="Title">
    <w:name w:val="Title"/>
    <w:basedOn w:val="Normal"/>
    <w:next w:val="Normal"/>
    <w:link w:val="TitleChar"/>
    <w:uiPriority w:val="10"/>
    <w:qFormat/>
    <w:rsid w:val="001F3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52E"/>
    <w:rPr>
      <w:rFonts w:asciiTheme="majorHAnsi" w:eastAsiaTheme="majorEastAsia" w:hAnsiTheme="majorHAnsi" w:cstheme="majorBidi"/>
      <w:spacing w:val="-10"/>
      <w:kern w:val="28"/>
      <w:sz w:val="56"/>
      <w:szCs w:val="56"/>
      <w:lang w:bidi="en-US"/>
    </w:rPr>
  </w:style>
  <w:style w:type="character" w:customStyle="1" w:styleId="Heading1Char">
    <w:name w:val="Heading 1 Char"/>
    <w:basedOn w:val="DefaultParagraphFont"/>
    <w:link w:val="Heading1"/>
    <w:uiPriority w:val="9"/>
    <w:rsid w:val="001F352E"/>
    <w:rPr>
      <w:rFonts w:asciiTheme="majorHAnsi" w:eastAsiaTheme="majorEastAsia" w:hAnsiTheme="majorHAnsi" w:cstheme="majorBidi"/>
      <w:color w:val="365F91" w:themeColor="accent1" w:themeShade="BF"/>
      <w:sz w:val="32"/>
      <w:szCs w:val="32"/>
      <w:lang w:bidi="en-US"/>
    </w:rPr>
  </w:style>
  <w:style w:type="character" w:styleId="Hyperlink">
    <w:name w:val="Hyperlink"/>
    <w:basedOn w:val="DefaultParagraphFont"/>
    <w:uiPriority w:val="99"/>
    <w:unhideWhenUsed/>
    <w:rsid w:val="00071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990">
      <w:bodyDiv w:val="1"/>
      <w:marLeft w:val="0"/>
      <w:marRight w:val="0"/>
      <w:marTop w:val="0"/>
      <w:marBottom w:val="0"/>
      <w:divBdr>
        <w:top w:val="none" w:sz="0" w:space="0" w:color="auto"/>
        <w:left w:val="none" w:sz="0" w:space="0" w:color="auto"/>
        <w:bottom w:val="none" w:sz="0" w:space="0" w:color="auto"/>
        <w:right w:val="none" w:sz="0" w:space="0" w:color="auto"/>
      </w:divBdr>
    </w:div>
    <w:div w:id="8053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CA1B-37A5-4655-9A59-6536A42E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Christine Frei</cp:lastModifiedBy>
  <cp:revision>2</cp:revision>
  <cp:lastPrinted>2015-06-10T15:57:00Z</cp:lastPrinted>
  <dcterms:created xsi:type="dcterms:W3CDTF">2019-12-10T15:50:00Z</dcterms:created>
  <dcterms:modified xsi:type="dcterms:W3CDTF">2019-12-10T15:50:00Z</dcterms:modified>
</cp:coreProperties>
</file>