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6C" w:rsidRPr="00027036" w:rsidRDefault="003E586C" w:rsidP="003E586C">
      <w:pPr>
        <w:spacing w:after="0" w:line="240" w:lineRule="auto"/>
        <w:rPr>
          <w:rFonts w:ascii="Arial" w:hAnsi="Arial" w:cs="Arial"/>
          <w:b/>
        </w:rPr>
      </w:pPr>
      <w:bookmarkStart w:id="0" w:name="_GoBack"/>
      <w:bookmarkEnd w:id="0"/>
      <w:r w:rsidRPr="00027036">
        <w:rPr>
          <w:rFonts w:ascii="Arial" w:hAnsi="Arial" w:cs="Arial"/>
          <w:b/>
        </w:rPr>
        <w:t>MISSION AND SCOPE</w:t>
      </w:r>
    </w:p>
    <w:p w:rsidR="003E586C" w:rsidRPr="00027036" w:rsidRDefault="003E586C" w:rsidP="003E586C">
      <w:pPr>
        <w:spacing w:after="0" w:line="240" w:lineRule="auto"/>
        <w:rPr>
          <w:rFonts w:ascii="Arial" w:hAnsi="Arial" w:cs="Arial"/>
        </w:rPr>
      </w:pPr>
    </w:p>
    <w:p w:rsidR="003E586C" w:rsidRPr="00027036" w:rsidRDefault="003E586C" w:rsidP="003E586C">
      <w:pPr>
        <w:spacing w:after="0" w:line="240" w:lineRule="auto"/>
        <w:rPr>
          <w:rFonts w:ascii="Arial" w:hAnsi="Arial" w:cs="Arial"/>
        </w:rPr>
      </w:pPr>
      <w:r w:rsidRPr="00027036">
        <w:rPr>
          <w:rFonts w:ascii="Arial" w:hAnsi="Arial" w:cs="Arial"/>
        </w:rPr>
        <w:t xml:space="preserve">The Energy Facility Contractors Group (EFCOG) Project Delivery Working Group (PDWG) is chartered </w:t>
      </w:r>
      <w:r w:rsidR="00071BDA">
        <w:rPr>
          <w:rFonts w:ascii="Arial" w:hAnsi="Arial" w:cs="Arial"/>
        </w:rPr>
        <w:t>to</w:t>
      </w:r>
      <w:r w:rsidR="00520FED">
        <w:rPr>
          <w:rFonts w:ascii="Arial" w:hAnsi="Arial" w:cs="Arial"/>
        </w:rPr>
        <w:t xml:space="preserve"> </w:t>
      </w:r>
      <w:r w:rsidRPr="00027036">
        <w:rPr>
          <w:rFonts w:ascii="Arial" w:hAnsi="Arial" w:cs="Arial"/>
        </w:rPr>
        <w:t>leverage the expertise and experience of U.S. Department of Energy contractors to address challenges and achieve improvements in project delivery across the DOE complex.  The PDWG’s purpose is to seek out, promote and share the best practices and processes for successful project delivery at DOE facilities.  This will be achieved through contractor subject matter experts and professionals from across the DOE complex working together</w:t>
      </w:r>
      <w:r>
        <w:rPr>
          <w:rFonts w:ascii="Arial" w:hAnsi="Arial" w:cs="Arial"/>
        </w:rPr>
        <w:t>,</w:t>
      </w:r>
      <w:r w:rsidRPr="00027036">
        <w:rPr>
          <w:rFonts w:ascii="Arial" w:hAnsi="Arial" w:cs="Arial"/>
        </w:rPr>
        <w:t xml:space="preserve"> and in partnership with DOE</w:t>
      </w:r>
      <w:r>
        <w:rPr>
          <w:rFonts w:ascii="Arial" w:hAnsi="Arial" w:cs="Arial"/>
        </w:rPr>
        <w:t>,</w:t>
      </w:r>
      <w:r w:rsidRPr="00027036">
        <w:rPr>
          <w:rFonts w:ascii="Arial" w:hAnsi="Arial" w:cs="Arial"/>
        </w:rPr>
        <w:t xml:space="preserve"> to</w:t>
      </w:r>
      <w:r w:rsidR="009C0840">
        <w:rPr>
          <w:rFonts w:ascii="Arial" w:hAnsi="Arial" w:cs="Arial"/>
        </w:rPr>
        <w:t xml:space="preserve"> implement DOE initiatives</w:t>
      </w:r>
      <w:r w:rsidR="006D7C32">
        <w:rPr>
          <w:rFonts w:ascii="Arial" w:hAnsi="Arial" w:cs="Arial"/>
        </w:rPr>
        <w:t xml:space="preserve"> </w:t>
      </w:r>
      <w:r w:rsidR="009D4D4D">
        <w:rPr>
          <w:rFonts w:ascii="Arial" w:hAnsi="Arial" w:cs="Arial"/>
        </w:rPr>
        <w:t>that</w:t>
      </w:r>
      <w:r w:rsidRPr="00027036">
        <w:rPr>
          <w:rFonts w:ascii="Arial" w:hAnsi="Arial" w:cs="Arial"/>
        </w:rPr>
        <w:t xml:space="preserve"> strengthen and advance the development, management and delivery of projects (and project-like activities) in support of DOE missions.  The </w:t>
      </w:r>
      <w:r>
        <w:rPr>
          <w:rFonts w:ascii="Arial" w:hAnsi="Arial" w:cs="Arial"/>
        </w:rPr>
        <w:t>PDWG</w:t>
      </w:r>
      <w:r w:rsidRPr="00027036">
        <w:rPr>
          <w:rFonts w:ascii="Arial" w:hAnsi="Arial" w:cs="Arial"/>
        </w:rPr>
        <w:t xml:space="preserve"> portfolio includes those broad-based, interrelated elements across the project lifecycle critical to successful </w:t>
      </w:r>
      <w:r>
        <w:rPr>
          <w:rFonts w:ascii="Arial" w:hAnsi="Arial" w:cs="Arial"/>
        </w:rPr>
        <w:t xml:space="preserve">project </w:t>
      </w:r>
      <w:r w:rsidRPr="00027036">
        <w:rPr>
          <w:rFonts w:ascii="Arial" w:hAnsi="Arial" w:cs="Arial"/>
        </w:rPr>
        <w:t>delivery.  Areas of focus</w:t>
      </w:r>
      <w:r>
        <w:rPr>
          <w:rFonts w:ascii="Arial" w:hAnsi="Arial" w:cs="Arial"/>
        </w:rPr>
        <w:t xml:space="preserve"> and collaboration</w:t>
      </w:r>
      <w:r w:rsidRPr="00027036">
        <w:rPr>
          <w:rFonts w:ascii="Arial" w:hAnsi="Arial" w:cs="Arial"/>
        </w:rPr>
        <w:t xml:space="preserve"> include:</w:t>
      </w:r>
    </w:p>
    <w:p w:rsidR="003E586C" w:rsidRPr="00027036" w:rsidRDefault="003E586C" w:rsidP="003E586C">
      <w:pPr>
        <w:spacing w:after="0" w:line="240" w:lineRule="auto"/>
        <w:rPr>
          <w:rFonts w:ascii="Arial" w:hAnsi="Arial" w:cs="Arial"/>
        </w:rPr>
      </w:pPr>
    </w:p>
    <w:p w:rsidR="003E586C" w:rsidRDefault="003E586C" w:rsidP="003E586C">
      <w:pPr>
        <w:numPr>
          <w:ilvl w:val="0"/>
          <w:numId w:val="1"/>
        </w:numPr>
        <w:spacing w:after="0" w:line="240" w:lineRule="auto"/>
        <w:jc w:val="left"/>
        <w:rPr>
          <w:rFonts w:ascii="Arial" w:hAnsi="Arial" w:cs="Arial"/>
        </w:rPr>
      </w:pPr>
      <w:r>
        <w:rPr>
          <w:rFonts w:ascii="Arial" w:hAnsi="Arial" w:cs="Arial"/>
        </w:rPr>
        <w:t>P</w:t>
      </w:r>
      <w:r w:rsidRPr="00027036">
        <w:rPr>
          <w:rFonts w:ascii="Arial" w:hAnsi="Arial" w:cs="Arial"/>
        </w:rPr>
        <w:t>roject</w:t>
      </w:r>
      <w:r>
        <w:rPr>
          <w:rFonts w:ascii="Arial" w:hAnsi="Arial" w:cs="Arial"/>
        </w:rPr>
        <w:t xml:space="preserve"> Management</w:t>
      </w:r>
    </w:p>
    <w:p w:rsidR="003E586C" w:rsidRPr="000357DF" w:rsidRDefault="00FC3246" w:rsidP="0078532C">
      <w:pPr>
        <w:pStyle w:val="ListParagraph"/>
        <w:numPr>
          <w:ilvl w:val="0"/>
          <w:numId w:val="1"/>
        </w:numPr>
        <w:spacing w:after="0" w:line="240" w:lineRule="auto"/>
        <w:rPr>
          <w:rFonts w:ascii="Arial" w:hAnsi="Arial" w:cs="Arial"/>
          <w:sz w:val="20"/>
          <w:szCs w:val="20"/>
        </w:rPr>
      </w:pPr>
      <w:r>
        <w:rPr>
          <w:rFonts w:ascii="Arial" w:hAnsi="Arial" w:cs="Arial"/>
          <w:sz w:val="20"/>
          <w:szCs w:val="20"/>
        </w:rPr>
        <w:t>Cost Estimating</w:t>
      </w:r>
    </w:p>
    <w:p w:rsidR="003E586C" w:rsidRDefault="003E586C" w:rsidP="003E586C">
      <w:pPr>
        <w:numPr>
          <w:ilvl w:val="0"/>
          <w:numId w:val="1"/>
        </w:numPr>
        <w:spacing w:after="0" w:line="240" w:lineRule="auto"/>
        <w:jc w:val="left"/>
        <w:rPr>
          <w:rFonts w:ascii="Arial" w:hAnsi="Arial" w:cs="Arial"/>
        </w:rPr>
      </w:pPr>
      <w:r>
        <w:rPr>
          <w:rFonts w:ascii="Arial" w:hAnsi="Arial" w:cs="Arial"/>
        </w:rPr>
        <w:t>Scheduling</w:t>
      </w:r>
    </w:p>
    <w:p w:rsidR="003E586C" w:rsidRPr="00E018AC" w:rsidRDefault="003E586C" w:rsidP="003E586C">
      <w:pPr>
        <w:numPr>
          <w:ilvl w:val="0"/>
          <w:numId w:val="1"/>
        </w:numPr>
        <w:spacing w:after="0" w:line="240" w:lineRule="auto"/>
        <w:jc w:val="left"/>
        <w:rPr>
          <w:rFonts w:ascii="Arial" w:hAnsi="Arial" w:cs="Arial"/>
        </w:rPr>
      </w:pPr>
      <w:r>
        <w:rPr>
          <w:rFonts w:ascii="Arial" w:hAnsi="Arial" w:cs="Arial"/>
        </w:rPr>
        <w:t>Risk Management</w:t>
      </w:r>
    </w:p>
    <w:p w:rsidR="003E586C" w:rsidRDefault="003E586C" w:rsidP="003E586C">
      <w:pPr>
        <w:numPr>
          <w:ilvl w:val="0"/>
          <w:numId w:val="1"/>
        </w:numPr>
        <w:spacing w:after="0" w:line="240" w:lineRule="auto"/>
        <w:jc w:val="left"/>
        <w:rPr>
          <w:rFonts w:ascii="Arial" w:hAnsi="Arial" w:cs="Arial"/>
        </w:rPr>
      </w:pPr>
      <w:r>
        <w:rPr>
          <w:rFonts w:ascii="Arial" w:hAnsi="Arial" w:cs="Arial"/>
        </w:rPr>
        <w:t>Acquisition Management</w:t>
      </w:r>
    </w:p>
    <w:p w:rsidR="003E586C" w:rsidRPr="005C1AFA" w:rsidRDefault="003E586C" w:rsidP="003E586C">
      <w:pPr>
        <w:numPr>
          <w:ilvl w:val="0"/>
          <w:numId w:val="1"/>
        </w:numPr>
        <w:spacing w:after="0" w:line="240" w:lineRule="auto"/>
        <w:jc w:val="left"/>
        <w:rPr>
          <w:rFonts w:ascii="Arial" w:hAnsi="Arial" w:cs="Arial"/>
        </w:rPr>
      </w:pPr>
      <w:r w:rsidRPr="00027036">
        <w:rPr>
          <w:rFonts w:ascii="Arial" w:hAnsi="Arial" w:cs="Arial"/>
        </w:rPr>
        <w:t>C</w:t>
      </w:r>
      <w:r>
        <w:rPr>
          <w:rFonts w:ascii="Arial" w:hAnsi="Arial" w:cs="Arial"/>
        </w:rPr>
        <w:t>ontract Management</w:t>
      </w:r>
    </w:p>
    <w:p w:rsidR="003E586C" w:rsidRPr="00027036" w:rsidRDefault="003E586C" w:rsidP="003E586C">
      <w:pPr>
        <w:numPr>
          <w:ilvl w:val="0"/>
          <w:numId w:val="1"/>
        </w:numPr>
        <w:spacing w:after="0" w:line="240" w:lineRule="auto"/>
        <w:jc w:val="left"/>
        <w:rPr>
          <w:rFonts w:ascii="Arial" w:hAnsi="Arial" w:cs="Arial"/>
        </w:rPr>
      </w:pPr>
      <w:r>
        <w:rPr>
          <w:rFonts w:ascii="Arial" w:hAnsi="Arial" w:cs="Arial"/>
        </w:rPr>
        <w:t>Project Peer Review Support</w:t>
      </w:r>
    </w:p>
    <w:p w:rsidR="003E586C" w:rsidRDefault="003E586C" w:rsidP="003E586C">
      <w:pPr>
        <w:numPr>
          <w:ilvl w:val="0"/>
          <w:numId w:val="1"/>
        </w:numPr>
        <w:spacing w:after="0" w:line="240" w:lineRule="auto"/>
        <w:jc w:val="left"/>
        <w:rPr>
          <w:rFonts w:ascii="Arial" w:hAnsi="Arial" w:cs="Arial"/>
        </w:rPr>
      </w:pPr>
      <w:r>
        <w:rPr>
          <w:rFonts w:ascii="Arial" w:hAnsi="Arial" w:cs="Arial"/>
        </w:rPr>
        <w:t>Start-up</w:t>
      </w:r>
      <w:r w:rsidR="00EC27E5">
        <w:rPr>
          <w:rFonts w:ascii="Arial" w:hAnsi="Arial" w:cs="Arial"/>
        </w:rPr>
        <w:t xml:space="preserve">, Testing </w:t>
      </w:r>
      <w:r>
        <w:rPr>
          <w:rFonts w:ascii="Arial" w:hAnsi="Arial" w:cs="Arial"/>
        </w:rPr>
        <w:t>and C</w:t>
      </w:r>
      <w:r w:rsidRPr="00027036">
        <w:rPr>
          <w:rFonts w:ascii="Arial" w:hAnsi="Arial" w:cs="Arial"/>
        </w:rPr>
        <w:t>ommissioning</w:t>
      </w:r>
    </w:p>
    <w:p w:rsidR="003E586C" w:rsidRPr="005C1AFA" w:rsidRDefault="003E586C" w:rsidP="003E586C">
      <w:pPr>
        <w:numPr>
          <w:ilvl w:val="0"/>
          <w:numId w:val="1"/>
        </w:numPr>
        <w:spacing w:after="0" w:line="240" w:lineRule="auto"/>
        <w:jc w:val="left"/>
        <w:rPr>
          <w:rFonts w:ascii="Arial" w:hAnsi="Arial" w:cs="Arial"/>
        </w:rPr>
      </w:pPr>
      <w:r>
        <w:rPr>
          <w:rFonts w:ascii="Arial" w:hAnsi="Arial" w:cs="Arial"/>
        </w:rPr>
        <w:t>Guide revisions</w:t>
      </w:r>
    </w:p>
    <w:p w:rsidR="003E586C" w:rsidRPr="00027036" w:rsidRDefault="003E586C" w:rsidP="003E586C">
      <w:pPr>
        <w:spacing w:after="0" w:line="240" w:lineRule="auto"/>
        <w:rPr>
          <w:rFonts w:ascii="Arial" w:hAnsi="Arial" w:cs="Arial"/>
        </w:rPr>
      </w:pPr>
    </w:p>
    <w:p w:rsidR="003E586C" w:rsidRPr="00027036" w:rsidRDefault="003E586C" w:rsidP="003E586C">
      <w:pPr>
        <w:spacing w:after="0" w:line="240" w:lineRule="auto"/>
        <w:rPr>
          <w:rFonts w:ascii="Arial" w:hAnsi="Arial" w:cs="Arial"/>
        </w:rPr>
      </w:pPr>
      <w:r w:rsidRPr="00027036">
        <w:rPr>
          <w:rFonts w:ascii="Arial" w:hAnsi="Arial" w:cs="Arial"/>
        </w:rPr>
        <w:t>The Working Group will focus on practical and effective solutions to complex-wide challenges; promote open communication and sharing of lessons learned and best practices, and leverage inter-site and inter-contractor solutions to achieve enterprise-wide improvement while supporting cost-effective and efficient solutions.  This will be achieved in a manner that maintains a priority on safety, compliance and cost-effectiveness.</w:t>
      </w:r>
    </w:p>
    <w:p w:rsidR="003E586C" w:rsidRDefault="003E586C" w:rsidP="003E586C">
      <w:pPr>
        <w:spacing w:after="0" w:line="240" w:lineRule="auto"/>
        <w:rPr>
          <w:rFonts w:ascii="Arial" w:hAnsi="Arial" w:cs="Arial"/>
        </w:rPr>
      </w:pPr>
    </w:p>
    <w:p w:rsidR="003E586C" w:rsidRDefault="003E586C" w:rsidP="003E586C">
      <w:pPr>
        <w:spacing w:after="0" w:line="240" w:lineRule="auto"/>
        <w:rPr>
          <w:rFonts w:ascii="Arial" w:hAnsi="Arial" w:cs="Arial"/>
        </w:rPr>
      </w:pPr>
      <w:r>
        <w:rPr>
          <w:rFonts w:ascii="Arial" w:hAnsi="Arial" w:cs="Arial"/>
        </w:rPr>
        <w:t>The Project Management focus areas will be project management, construction management, risk management, cost estimating</w:t>
      </w:r>
      <w:r w:rsidR="005A2467">
        <w:rPr>
          <w:rFonts w:ascii="Arial" w:hAnsi="Arial" w:cs="Arial"/>
        </w:rPr>
        <w:t>, scheduling</w:t>
      </w:r>
      <w:r>
        <w:rPr>
          <w:rFonts w:ascii="Arial" w:hAnsi="Arial" w:cs="Arial"/>
        </w:rPr>
        <w:t xml:space="preserve"> and project peer review support. The Project Controls </w:t>
      </w:r>
      <w:r w:rsidR="0078532C">
        <w:rPr>
          <w:rFonts w:ascii="Arial" w:hAnsi="Arial" w:cs="Arial"/>
        </w:rPr>
        <w:t xml:space="preserve">Subgroup will focus primarily on </w:t>
      </w:r>
      <w:r w:rsidR="0077102F">
        <w:rPr>
          <w:rFonts w:ascii="Arial" w:hAnsi="Arial" w:cs="Arial"/>
        </w:rPr>
        <w:t xml:space="preserve">earned value </w:t>
      </w:r>
      <w:r w:rsidR="005A2467">
        <w:rPr>
          <w:rFonts w:ascii="Arial" w:hAnsi="Arial" w:cs="Arial"/>
        </w:rPr>
        <w:t xml:space="preserve">compliance in </w:t>
      </w:r>
      <w:r w:rsidR="0078532C">
        <w:rPr>
          <w:rFonts w:ascii="Arial" w:hAnsi="Arial" w:cs="Arial"/>
        </w:rPr>
        <w:t xml:space="preserve">support </w:t>
      </w:r>
      <w:r w:rsidR="0077102F">
        <w:rPr>
          <w:rFonts w:ascii="Arial" w:hAnsi="Arial" w:cs="Arial"/>
        </w:rPr>
        <w:t xml:space="preserve">of </w:t>
      </w:r>
      <w:r w:rsidR="0078532C">
        <w:rPr>
          <w:rFonts w:ascii="Arial" w:hAnsi="Arial" w:cs="Arial"/>
        </w:rPr>
        <w:t>PM-30 and EM</w:t>
      </w:r>
      <w:r w:rsidR="008F6F9F">
        <w:rPr>
          <w:rFonts w:ascii="Arial" w:hAnsi="Arial" w:cs="Arial"/>
        </w:rPr>
        <w:t>-</w:t>
      </w:r>
      <w:r w:rsidR="0078532C">
        <w:rPr>
          <w:rFonts w:ascii="Arial" w:hAnsi="Arial" w:cs="Arial"/>
        </w:rPr>
        <w:t>5.22</w:t>
      </w:r>
      <w:r>
        <w:rPr>
          <w:rFonts w:ascii="Arial" w:hAnsi="Arial" w:cs="Arial"/>
        </w:rPr>
        <w:t>. These efforts will be integrated and supported by task teams and other working groups as necessary to provide solutions to improving project delivery across the complex.  The work plan activities will be accomplished through the collaboration of complex-wide SME’s.</w:t>
      </w:r>
    </w:p>
    <w:p w:rsidR="003E586C" w:rsidRDefault="003E586C" w:rsidP="00AC3E3F">
      <w:pPr>
        <w:spacing w:after="0" w:line="240" w:lineRule="auto"/>
        <w:jc w:val="left"/>
        <w:rPr>
          <w:sz w:val="24"/>
          <w:szCs w:val="24"/>
        </w:rPr>
      </w:pPr>
    </w:p>
    <w:p w:rsidR="00593CFE" w:rsidRPr="00593CFE" w:rsidRDefault="00593CFE" w:rsidP="00593CFE">
      <w:pPr>
        <w:pStyle w:val="Footer"/>
        <w:ind w:left="0"/>
        <w:jc w:val="left"/>
        <w:rPr>
          <w:rFonts w:ascii="Arial" w:eastAsia="Calibri" w:hAnsi="Arial" w:cs="Arial"/>
          <w:b/>
          <w:i/>
          <w:sz w:val="18"/>
          <w:szCs w:val="16"/>
          <w:lang w:bidi="ar-SA"/>
        </w:rPr>
      </w:pPr>
      <w:r w:rsidRPr="00593CFE">
        <w:rPr>
          <w:rFonts w:ascii="Arial" w:eastAsia="Calibri" w:hAnsi="Arial" w:cs="Arial"/>
          <w:b/>
          <w:i/>
          <w:sz w:val="18"/>
          <w:szCs w:val="16"/>
          <w:lang w:bidi="ar-SA"/>
        </w:rPr>
        <w:t xml:space="preserve">What </w:t>
      </w:r>
      <w:r w:rsidR="009D4D4D">
        <w:rPr>
          <w:rFonts w:ascii="Arial" w:eastAsia="Calibri" w:hAnsi="Arial" w:cs="Arial"/>
          <w:b/>
          <w:i/>
          <w:sz w:val="18"/>
          <w:szCs w:val="16"/>
          <w:lang w:bidi="ar-SA"/>
        </w:rPr>
        <w:t>E</w:t>
      </w:r>
      <w:r w:rsidRPr="00593CFE">
        <w:rPr>
          <w:rFonts w:ascii="Arial" w:eastAsia="Calibri" w:hAnsi="Arial" w:cs="Arial"/>
          <w:b/>
          <w:i/>
          <w:sz w:val="18"/>
          <w:szCs w:val="16"/>
          <w:lang w:bidi="ar-SA"/>
        </w:rPr>
        <w:t>FCOG</w:t>
      </w:r>
      <w:r w:rsidR="009D4D4D">
        <w:rPr>
          <w:rFonts w:ascii="Arial" w:eastAsia="Calibri" w:hAnsi="Arial" w:cs="Arial"/>
          <w:b/>
          <w:i/>
          <w:sz w:val="18"/>
          <w:szCs w:val="16"/>
          <w:lang w:bidi="ar-SA"/>
        </w:rPr>
        <w:t xml:space="preserve"> </w:t>
      </w:r>
      <w:r w:rsidR="009D4D4D" w:rsidRPr="009D4D4D">
        <w:rPr>
          <w:rFonts w:ascii="Arial" w:eastAsia="Calibri" w:hAnsi="Arial" w:cs="Arial"/>
          <w:b/>
          <w:i/>
          <w:sz w:val="18"/>
          <w:szCs w:val="16"/>
          <w:u w:val="single"/>
          <w:lang w:bidi="ar-SA"/>
        </w:rPr>
        <w:t>Does</w:t>
      </w:r>
      <w:r w:rsidR="009D4D4D">
        <w:rPr>
          <w:rFonts w:ascii="Arial" w:eastAsia="Calibri" w:hAnsi="Arial" w:cs="Arial"/>
          <w:b/>
          <w:i/>
          <w:sz w:val="18"/>
          <w:szCs w:val="16"/>
          <w:lang w:bidi="ar-SA"/>
        </w:rPr>
        <w:t xml:space="preserve"> and </w:t>
      </w:r>
      <w:r w:rsidR="009D4D4D" w:rsidRPr="009D4D4D">
        <w:rPr>
          <w:rFonts w:ascii="Arial" w:eastAsia="Calibri" w:hAnsi="Arial" w:cs="Arial"/>
          <w:b/>
          <w:i/>
          <w:sz w:val="18"/>
          <w:szCs w:val="16"/>
          <w:u w:val="single"/>
          <w:lang w:bidi="ar-SA"/>
        </w:rPr>
        <w:t>does not</w:t>
      </w:r>
      <w:r w:rsidR="009D4D4D">
        <w:rPr>
          <w:rFonts w:ascii="Arial" w:eastAsia="Calibri" w:hAnsi="Arial" w:cs="Arial"/>
          <w:b/>
          <w:i/>
          <w:sz w:val="18"/>
          <w:szCs w:val="16"/>
          <w:lang w:bidi="ar-SA"/>
        </w:rPr>
        <w:t xml:space="preserve"> do</w:t>
      </w:r>
      <w:r w:rsidR="00EF2015">
        <w:rPr>
          <w:rFonts w:ascii="Arial" w:eastAsia="Calibri" w:hAnsi="Arial" w:cs="Arial"/>
          <w:b/>
          <w:i/>
          <w:sz w:val="18"/>
          <w:szCs w:val="16"/>
          <w:lang w:bidi="ar-SA"/>
        </w:rPr>
        <w:t>:</w:t>
      </w:r>
    </w:p>
    <w:p w:rsidR="009D4D4D" w:rsidRDefault="009D4D4D" w:rsidP="00593CFE">
      <w:pPr>
        <w:tabs>
          <w:tab w:val="center" w:pos="4680"/>
          <w:tab w:val="right" w:pos="9360"/>
        </w:tabs>
        <w:spacing w:after="0" w:line="240" w:lineRule="auto"/>
        <w:jc w:val="left"/>
        <w:rPr>
          <w:rFonts w:ascii="Arial" w:eastAsia="Calibri" w:hAnsi="Arial" w:cs="Arial"/>
          <w:b/>
          <w:i/>
          <w:u w:val="single"/>
          <w:lang w:bidi="ar-SA"/>
        </w:rPr>
      </w:pPr>
    </w:p>
    <w:p w:rsidR="00531EBE" w:rsidRPr="004A38E1" w:rsidRDefault="00531EBE" w:rsidP="00593CFE">
      <w:pPr>
        <w:tabs>
          <w:tab w:val="center" w:pos="4680"/>
          <w:tab w:val="right" w:pos="9360"/>
        </w:tabs>
        <w:spacing w:after="0" w:line="240" w:lineRule="auto"/>
        <w:jc w:val="left"/>
        <w:rPr>
          <w:rFonts w:ascii="Arial" w:eastAsia="Calibri" w:hAnsi="Arial" w:cs="Arial"/>
          <w:i/>
          <w:lang w:bidi="ar-SA"/>
        </w:rPr>
      </w:pPr>
      <w:r w:rsidRPr="00F8118E">
        <w:rPr>
          <w:rFonts w:ascii="Arial" w:eastAsia="Calibri" w:hAnsi="Arial" w:cs="Arial"/>
          <w:b/>
          <w:i/>
          <w:u w:val="single"/>
          <w:lang w:bidi="ar-SA"/>
        </w:rPr>
        <w:t>EFCOG</w:t>
      </w:r>
      <w:r w:rsidR="00EF2015">
        <w:rPr>
          <w:rFonts w:ascii="Arial" w:eastAsia="Calibri" w:hAnsi="Arial" w:cs="Arial"/>
          <w:b/>
          <w:i/>
          <w:u w:val="single"/>
          <w:lang w:bidi="ar-SA"/>
        </w:rPr>
        <w:t xml:space="preserve"> </w:t>
      </w:r>
      <w:r w:rsidR="00083C31">
        <w:rPr>
          <w:rFonts w:ascii="Arial" w:eastAsia="Calibri" w:hAnsi="Arial" w:cs="Arial"/>
          <w:b/>
          <w:i/>
          <w:u w:val="single"/>
          <w:lang w:bidi="ar-SA"/>
        </w:rPr>
        <w:t>D</w:t>
      </w:r>
      <w:r w:rsidR="00EF2015">
        <w:rPr>
          <w:rFonts w:ascii="Arial" w:eastAsia="Calibri" w:hAnsi="Arial" w:cs="Arial"/>
          <w:b/>
          <w:i/>
          <w:u w:val="single"/>
          <w:lang w:bidi="ar-SA"/>
        </w:rPr>
        <w:t>oes</w:t>
      </w:r>
      <w:r w:rsidRPr="00F8118E">
        <w:rPr>
          <w:rFonts w:ascii="Arial" w:eastAsia="Calibri" w:hAnsi="Arial" w:cs="Arial"/>
          <w:b/>
          <w:i/>
          <w:u w:val="single"/>
          <w:lang w:bidi="ar-SA"/>
        </w:rPr>
        <w:t>:</w:t>
      </w:r>
      <w:r w:rsidRPr="004A38E1">
        <w:rPr>
          <w:rFonts w:ascii="Arial" w:eastAsia="Calibri" w:hAnsi="Arial" w:cs="Arial"/>
          <w:i/>
          <w:lang w:bidi="ar-SA"/>
        </w:rPr>
        <w:t xml:space="preserve"> Promote safe work practices, promote, coordinate, and facilitate performance improvement exchange among DOE contractors, establish and maintain effective networks for addressing key DOE complex-wide issues, sponsor working groups and workshops to ex-change management and technical information, seek to red</w:t>
      </w:r>
      <w:r w:rsidR="00F8118E">
        <w:rPr>
          <w:rFonts w:ascii="Arial" w:eastAsia="Calibri" w:hAnsi="Arial" w:cs="Arial"/>
          <w:i/>
          <w:lang w:bidi="ar-SA"/>
        </w:rPr>
        <w:t>uce costs and improve efficiencies</w:t>
      </w:r>
      <w:r w:rsidRPr="004A38E1">
        <w:rPr>
          <w:rFonts w:ascii="Arial" w:eastAsia="Calibri" w:hAnsi="Arial" w:cs="Arial"/>
          <w:i/>
          <w:lang w:bidi="ar-SA"/>
        </w:rPr>
        <w:t>, establish liaisons with other organizations to minimize duplication of efforts, interface with DOE to ensure that EFCOG’s mission remains in alignment with DOE objectives, recommend productivity enhancements</w:t>
      </w:r>
    </w:p>
    <w:p w:rsidR="00531EBE" w:rsidRDefault="00531EBE" w:rsidP="00593CFE">
      <w:pPr>
        <w:tabs>
          <w:tab w:val="center" w:pos="4680"/>
          <w:tab w:val="right" w:pos="9360"/>
        </w:tabs>
        <w:spacing w:after="0" w:line="240" w:lineRule="auto"/>
        <w:jc w:val="left"/>
        <w:rPr>
          <w:rFonts w:ascii="Arial" w:eastAsia="Calibri" w:hAnsi="Arial" w:cs="Arial"/>
          <w:b/>
          <w:i/>
          <w:u w:val="single"/>
          <w:lang w:bidi="ar-SA"/>
        </w:rPr>
      </w:pPr>
    </w:p>
    <w:p w:rsidR="00593CFE" w:rsidRDefault="00593CFE" w:rsidP="00593CFE">
      <w:pPr>
        <w:tabs>
          <w:tab w:val="center" w:pos="4680"/>
          <w:tab w:val="right" w:pos="9360"/>
        </w:tabs>
        <w:spacing w:after="0" w:line="240" w:lineRule="auto"/>
        <w:jc w:val="left"/>
        <w:rPr>
          <w:rFonts w:ascii="Arial" w:eastAsia="Calibri" w:hAnsi="Arial" w:cs="Arial"/>
          <w:i/>
          <w:lang w:bidi="ar-SA"/>
        </w:rPr>
      </w:pPr>
      <w:r w:rsidRPr="00593CFE">
        <w:rPr>
          <w:rFonts w:ascii="Arial" w:eastAsia="Calibri" w:hAnsi="Arial" w:cs="Arial"/>
          <w:b/>
          <w:i/>
          <w:u w:val="single"/>
          <w:lang w:bidi="ar-SA"/>
        </w:rPr>
        <w:t xml:space="preserve">EFCOG </w:t>
      </w:r>
      <w:r w:rsidR="00083C31">
        <w:rPr>
          <w:rFonts w:ascii="Arial" w:eastAsia="Calibri" w:hAnsi="Arial" w:cs="Arial"/>
          <w:b/>
          <w:i/>
          <w:u w:val="single"/>
          <w:lang w:bidi="ar-SA"/>
        </w:rPr>
        <w:t>D</w:t>
      </w:r>
      <w:r w:rsidRPr="00593CFE">
        <w:rPr>
          <w:rFonts w:ascii="Arial" w:eastAsia="Calibri" w:hAnsi="Arial" w:cs="Arial"/>
          <w:b/>
          <w:i/>
          <w:u w:val="single"/>
          <w:lang w:bidi="ar-SA"/>
        </w:rPr>
        <w:t xml:space="preserve">oes </w:t>
      </w:r>
      <w:r w:rsidR="00083C31">
        <w:rPr>
          <w:rFonts w:ascii="Arial" w:eastAsia="Calibri" w:hAnsi="Arial" w:cs="Arial"/>
          <w:b/>
          <w:i/>
          <w:u w:val="single"/>
          <w:lang w:bidi="ar-SA"/>
        </w:rPr>
        <w:t>N</w:t>
      </w:r>
      <w:r w:rsidRPr="00593CFE">
        <w:rPr>
          <w:rFonts w:ascii="Arial" w:eastAsia="Calibri" w:hAnsi="Arial" w:cs="Arial"/>
          <w:b/>
          <w:i/>
          <w:u w:val="single"/>
          <w:lang w:bidi="ar-SA"/>
        </w:rPr>
        <w:t>ot:</w:t>
      </w:r>
      <w:r w:rsidRPr="00F8118E">
        <w:rPr>
          <w:rFonts w:ascii="Arial" w:eastAsia="Calibri" w:hAnsi="Arial" w:cs="Arial"/>
          <w:lang w:bidi="ar-SA"/>
        </w:rPr>
        <w:t xml:space="preserve"> </w:t>
      </w:r>
      <w:r w:rsidRPr="00593CFE">
        <w:rPr>
          <w:rFonts w:ascii="Arial" w:eastAsia="Calibri" w:hAnsi="Arial" w:cs="Arial"/>
          <w:i/>
          <w:lang w:bidi="ar-SA"/>
        </w:rPr>
        <w:t xml:space="preserve">Engage in lobbying, </w:t>
      </w:r>
      <w:r w:rsidR="00B77E8F">
        <w:rPr>
          <w:rFonts w:ascii="Arial" w:eastAsia="Calibri" w:hAnsi="Arial" w:cs="Arial"/>
          <w:i/>
          <w:lang w:bidi="ar-SA"/>
        </w:rPr>
        <w:t>d</w:t>
      </w:r>
      <w:r w:rsidRPr="00593CFE">
        <w:rPr>
          <w:rFonts w:ascii="Arial" w:eastAsia="Calibri" w:hAnsi="Arial" w:cs="Arial"/>
          <w:i/>
          <w:lang w:bidi="ar-SA"/>
        </w:rPr>
        <w:t xml:space="preserve">uplicate efforts of other groups, </w:t>
      </w:r>
      <w:r>
        <w:rPr>
          <w:rFonts w:ascii="Arial" w:eastAsia="Calibri" w:hAnsi="Arial" w:cs="Arial"/>
          <w:i/>
          <w:lang w:bidi="ar-SA"/>
        </w:rPr>
        <w:t>e</w:t>
      </w:r>
      <w:r w:rsidRPr="00593CFE">
        <w:rPr>
          <w:rFonts w:ascii="Arial" w:eastAsia="Calibri" w:hAnsi="Arial" w:cs="Arial"/>
          <w:i/>
          <w:lang w:bidi="ar-SA"/>
        </w:rPr>
        <w:t xml:space="preserve">xchange contractual, financial, or legal information, </w:t>
      </w:r>
      <w:r>
        <w:rPr>
          <w:rFonts w:ascii="Arial" w:eastAsia="Calibri" w:hAnsi="Arial" w:cs="Arial"/>
          <w:i/>
          <w:lang w:bidi="ar-SA"/>
        </w:rPr>
        <w:t>t</w:t>
      </w:r>
      <w:r w:rsidRPr="00593CFE">
        <w:rPr>
          <w:rFonts w:ascii="Arial" w:eastAsia="Calibri" w:hAnsi="Arial" w:cs="Arial"/>
          <w:i/>
          <w:lang w:bidi="ar-SA"/>
        </w:rPr>
        <w:t xml:space="preserve">ake independent positions on DOE policy, </w:t>
      </w:r>
      <w:r w:rsidR="00C839DF">
        <w:rPr>
          <w:rFonts w:ascii="Arial" w:eastAsia="Calibri" w:hAnsi="Arial" w:cs="Arial"/>
          <w:i/>
          <w:lang w:bidi="ar-SA"/>
        </w:rPr>
        <w:t xml:space="preserve">or </w:t>
      </w:r>
      <w:r w:rsidRPr="00593CFE">
        <w:rPr>
          <w:rFonts w:ascii="Arial" w:eastAsia="Calibri" w:hAnsi="Arial" w:cs="Arial"/>
          <w:i/>
          <w:lang w:bidi="ar-SA"/>
        </w:rPr>
        <w:t>require stan</w:t>
      </w:r>
      <w:r w:rsidR="00621695">
        <w:rPr>
          <w:rFonts w:ascii="Arial" w:eastAsia="Calibri" w:hAnsi="Arial" w:cs="Arial"/>
          <w:i/>
          <w:lang w:bidi="ar-SA"/>
        </w:rPr>
        <w:t>dardization of member positions</w:t>
      </w:r>
    </w:p>
    <w:p w:rsidR="00593CFE" w:rsidRDefault="00593CFE" w:rsidP="00593CFE">
      <w:pPr>
        <w:tabs>
          <w:tab w:val="center" w:pos="4680"/>
          <w:tab w:val="right" w:pos="9360"/>
        </w:tabs>
        <w:spacing w:after="0" w:line="240" w:lineRule="auto"/>
        <w:jc w:val="left"/>
        <w:rPr>
          <w:rFonts w:ascii="Arial" w:eastAsia="Calibri" w:hAnsi="Arial" w:cs="Arial"/>
          <w:b/>
          <w:i/>
          <w:u w:val="single"/>
          <w:lang w:bidi="ar-SA"/>
        </w:rPr>
      </w:pPr>
    </w:p>
    <w:p w:rsidR="00593CFE" w:rsidRPr="00593CFE" w:rsidRDefault="00593CFE" w:rsidP="00593CFE">
      <w:pPr>
        <w:tabs>
          <w:tab w:val="center" w:pos="4680"/>
          <w:tab w:val="right" w:pos="9360"/>
        </w:tabs>
        <w:spacing w:after="0" w:line="240" w:lineRule="auto"/>
        <w:jc w:val="left"/>
        <w:rPr>
          <w:rFonts w:ascii="Arial" w:eastAsia="Calibri" w:hAnsi="Arial" w:cs="Arial"/>
          <w:i/>
          <w:lang w:bidi="ar-SA"/>
        </w:rPr>
      </w:pPr>
    </w:p>
    <w:tbl>
      <w:tblPr>
        <w:tblStyle w:val="LightList-Accent11"/>
        <w:tblW w:w="4388" w:type="pct"/>
        <w:jc w:val="center"/>
        <w:tblLook w:val="04A0" w:firstRow="1" w:lastRow="0" w:firstColumn="1" w:lastColumn="0" w:noHBand="0" w:noVBand="1"/>
      </w:tblPr>
      <w:tblGrid>
        <w:gridCol w:w="2351"/>
        <w:gridCol w:w="3187"/>
        <w:gridCol w:w="2866"/>
      </w:tblGrid>
      <w:tr w:rsidR="00E33352" w:rsidRPr="005731BA" w:rsidTr="0089112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99" w:type="pct"/>
            <w:tcBorders>
              <w:bottom w:val="single" w:sz="8" w:space="0" w:color="4F81BD"/>
            </w:tcBorders>
            <w:vAlign w:val="center"/>
          </w:tcPr>
          <w:p w:rsidR="00E33352" w:rsidRPr="005731BA" w:rsidRDefault="00E33352" w:rsidP="00EC27E5">
            <w:pPr>
              <w:jc w:val="center"/>
              <w:rPr>
                <w:rFonts w:ascii="Arial" w:hAnsi="Arial" w:cs="Arial"/>
                <w:lang w:bidi="ar-SA"/>
              </w:rPr>
            </w:pPr>
            <w:r w:rsidRPr="005731BA">
              <w:rPr>
                <w:rFonts w:ascii="Arial" w:hAnsi="Arial" w:cs="Arial"/>
                <w:lang w:bidi="ar-SA"/>
              </w:rPr>
              <w:lastRenderedPageBreak/>
              <w:t>Activity(s)</w:t>
            </w:r>
          </w:p>
        </w:tc>
        <w:tc>
          <w:tcPr>
            <w:tcW w:w="1896" w:type="pct"/>
            <w:tcBorders>
              <w:bottom w:val="single" w:sz="8" w:space="0" w:color="4F81BD"/>
            </w:tcBorders>
            <w:vAlign w:val="center"/>
          </w:tcPr>
          <w:p w:rsidR="00E33352" w:rsidRPr="005731BA" w:rsidRDefault="00E33352" w:rsidP="00EC27E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5731BA">
              <w:rPr>
                <w:rFonts w:ascii="Arial" w:hAnsi="Arial" w:cs="Arial"/>
                <w:lang w:bidi="ar-SA"/>
              </w:rPr>
              <w:t>Benefit(s)</w:t>
            </w:r>
          </w:p>
        </w:tc>
        <w:tc>
          <w:tcPr>
            <w:tcW w:w="1705" w:type="pct"/>
            <w:tcBorders>
              <w:bottom w:val="single" w:sz="8" w:space="0" w:color="4F81BD"/>
            </w:tcBorders>
            <w:vAlign w:val="center"/>
          </w:tcPr>
          <w:p w:rsidR="00E33352" w:rsidRPr="005731BA" w:rsidRDefault="00E33352" w:rsidP="00EC27E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5731BA">
              <w:rPr>
                <w:rFonts w:ascii="Arial" w:hAnsi="Arial" w:cs="Arial"/>
                <w:lang w:bidi="ar-SA"/>
              </w:rPr>
              <w:t>Deliverable/Key Milestone(s)</w:t>
            </w:r>
          </w:p>
        </w:tc>
      </w:tr>
      <w:tr w:rsidR="00043BF0" w:rsidRPr="005731BA"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rsidR="00043BF0" w:rsidRPr="00D313B5" w:rsidRDefault="00E85119" w:rsidP="00043BF0">
            <w:pPr>
              <w:jc w:val="center"/>
              <w:rPr>
                <w:rFonts w:ascii="Arial" w:eastAsiaTheme="minorHAnsi" w:hAnsi="Arial" w:cs="Arial"/>
              </w:rPr>
            </w:pPr>
            <w:r w:rsidRPr="00D313B5">
              <w:rPr>
                <w:rFonts w:ascii="Arial" w:eastAsiaTheme="minorHAnsi" w:hAnsi="Arial" w:cs="Arial"/>
              </w:rPr>
              <w:t xml:space="preserve">1.0 </w:t>
            </w:r>
            <w:r w:rsidR="00043BF0" w:rsidRPr="00D313B5">
              <w:rPr>
                <w:rFonts w:ascii="Arial" w:eastAsiaTheme="minorHAnsi" w:hAnsi="Arial" w:cs="Arial"/>
              </w:rPr>
              <w:t>Project Controls Subgroup</w:t>
            </w:r>
          </w:p>
        </w:tc>
      </w:tr>
      <w:tr w:rsidR="00E33352" w:rsidRPr="005731BA"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10574D">
            <w:pPr>
              <w:jc w:val="left"/>
              <w:rPr>
                <w:rFonts w:ascii="Arial" w:hAnsi="Arial" w:cs="Arial"/>
                <w:b w:val="0"/>
              </w:rPr>
            </w:pPr>
            <w:r w:rsidRPr="0010574D">
              <w:rPr>
                <w:rFonts w:ascii="Arial" w:hAnsi="Arial" w:cs="Arial"/>
                <w:b w:val="0"/>
              </w:rPr>
              <w:t>1.1</w:t>
            </w:r>
            <w:r w:rsidR="002A77A7">
              <w:rPr>
                <w:rFonts w:ascii="Arial" w:hAnsi="Arial" w:cs="Arial"/>
                <w:b w:val="0"/>
              </w:rPr>
              <w:t xml:space="preserve"> </w:t>
            </w:r>
            <w:r w:rsidR="00AD51B4">
              <w:rPr>
                <w:rFonts w:ascii="Arial" w:hAnsi="Arial" w:cs="Arial"/>
                <w:b w:val="0"/>
              </w:rPr>
              <w:t>P</w:t>
            </w:r>
            <w:r w:rsidRPr="0010574D">
              <w:rPr>
                <w:rFonts w:ascii="Arial" w:hAnsi="Arial" w:cs="Arial"/>
                <w:b w:val="0"/>
              </w:rPr>
              <w:t xml:space="preserve">rovide </w:t>
            </w:r>
            <w:r>
              <w:rPr>
                <w:rFonts w:ascii="Arial" w:hAnsi="Arial" w:cs="Arial"/>
                <w:b w:val="0"/>
              </w:rPr>
              <w:t xml:space="preserve">collaborative </w:t>
            </w:r>
            <w:r w:rsidR="00A64C80">
              <w:rPr>
                <w:rFonts w:ascii="Arial" w:hAnsi="Arial" w:cs="Arial"/>
                <w:b w:val="0"/>
              </w:rPr>
              <w:t xml:space="preserve">earned value compliance </w:t>
            </w:r>
            <w:r w:rsidRPr="0010574D">
              <w:rPr>
                <w:rFonts w:ascii="Arial" w:hAnsi="Arial" w:cs="Arial"/>
                <w:b w:val="0"/>
              </w:rPr>
              <w:t xml:space="preserve">support </w:t>
            </w:r>
            <w:r w:rsidR="005769B1">
              <w:rPr>
                <w:rFonts w:ascii="Arial" w:hAnsi="Arial" w:cs="Arial"/>
                <w:b w:val="0"/>
              </w:rPr>
              <w:t>to the</w:t>
            </w:r>
            <w:r w:rsidRPr="0010574D">
              <w:rPr>
                <w:rFonts w:ascii="Arial" w:hAnsi="Arial" w:cs="Arial"/>
                <w:b w:val="0"/>
              </w:rPr>
              <w:t xml:space="preserve"> Office of Project Management Oversight and Assessments (PM)</w:t>
            </w:r>
            <w:r w:rsidR="00431E22">
              <w:rPr>
                <w:rFonts w:ascii="Arial" w:hAnsi="Arial" w:cs="Arial"/>
                <w:b w:val="0"/>
              </w:rPr>
              <w:t>/ (</w:t>
            </w:r>
            <w:r>
              <w:rPr>
                <w:rFonts w:ascii="Arial" w:hAnsi="Arial" w:cs="Arial"/>
                <w:b w:val="0"/>
              </w:rPr>
              <w:t>PM-30)</w:t>
            </w:r>
            <w:r w:rsidR="00AD51B4">
              <w:rPr>
                <w:rFonts w:ascii="Arial" w:hAnsi="Arial" w:cs="Arial"/>
                <w:b w:val="0"/>
              </w:rPr>
              <w:t xml:space="preserve"> and EM</w:t>
            </w:r>
            <w:r w:rsidR="008F6F9F">
              <w:rPr>
                <w:rFonts w:ascii="Arial" w:hAnsi="Arial" w:cs="Arial"/>
                <w:b w:val="0"/>
              </w:rPr>
              <w:t>-</w:t>
            </w:r>
            <w:r w:rsidR="00AD51B4">
              <w:rPr>
                <w:rFonts w:ascii="Arial" w:hAnsi="Arial" w:cs="Arial"/>
                <w:b w:val="0"/>
              </w:rPr>
              <w:t>5.22</w:t>
            </w:r>
            <w:r w:rsidR="005769B1">
              <w:rPr>
                <w:rFonts w:ascii="Arial" w:hAnsi="Arial" w:cs="Arial"/>
                <w:b w:val="0"/>
              </w:rPr>
              <w:t>, as requested</w:t>
            </w:r>
            <w:r w:rsidR="00AD51B4">
              <w:rPr>
                <w:rFonts w:ascii="Arial" w:hAnsi="Arial" w:cs="Arial"/>
                <w:b w:val="0"/>
              </w:rPr>
              <w:t>.</w:t>
            </w:r>
          </w:p>
          <w:p w:rsidR="00E33352" w:rsidRPr="00215570" w:rsidRDefault="00E33352" w:rsidP="00B64518">
            <w:pPr>
              <w:jc w:val="left"/>
              <w:rPr>
                <w:rFonts w:ascii="Arial" w:hAnsi="Arial" w:cs="Arial"/>
              </w:rPr>
            </w:pPr>
          </w:p>
        </w:tc>
        <w:tc>
          <w:tcPr>
            <w:tcW w:w="1896" w:type="pct"/>
            <w:tcBorders>
              <w:left w:val="single" w:sz="8" w:space="0" w:color="4F81BD"/>
              <w:right w:val="single" w:sz="8" w:space="0" w:color="4F81BD"/>
            </w:tcBorders>
          </w:tcPr>
          <w:p w:rsidR="00E33352" w:rsidRPr="0010574D" w:rsidRDefault="00E33352" w:rsidP="00157C9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The purpose of the specific activities contained in the FY201</w:t>
            </w:r>
            <w:r w:rsidR="00157C95">
              <w:rPr>
                <w:rFonts w:ascii="Arial" w:hAnsi="Arial" w:cs="Arial"/>
              </w:rPr>
              <w:t>9</w:t>
            </w:r>
            <w:r w:rsidRPr="0010574D">
              <w:rPr>
                <w:rFonts w:ascii="Arial" w:hAnsi="Arial" w:cs="Arial"/>
              </w:rPr>
              <w:t xml:space="preserve"> Work Plan is </w:t>
            </w:r>
            <w:r w:rsidR="008F6F9F" w:rsidRPr="0010574D">
              <w:rPr>
                <w:rFonts w:ascii="Arial" w:hAnsi="Arial" w:cs="Arial"/>
              </w:rPr>
              <w:t xml:space="preserve">to </w:t>
            </w:r>
            <w:r w:rsidR="005769B1">
              <w:rPr>
                <w:rFonts w:ascii="Arial" w:hAnsi="Arial" w:cs="Arial"/>
              </w:rPr>
              <w:t xml:space="preserve">continue the </w:t>
            </w:r>
            <w:r w:rsidR="008F6F9F" w:rsidRPr="0010574D">
              <w:rPr>
                <w:rFonts w:ascii="Arial" w:hAnsi="Arial" w:cs="Arial"/>
              </w:rPr>
              <w:t>develop</w:t>
            </w:r>
            <w:r w:rsidR="005769B1">
              <w:rPr>
                <w:rFonts w:ascii="Arial" w:hAnsi="Arial" w:cs="Arial"/>
              </w:rPr>
              <w:t>ment</w:t>
            </w:r>
            <w:r w:rsidR="00AD51B4">
              <w:rPr>
                <w:rFonts w:ascii="Arial" w:hAnsi="Arial" w:cs="Arial"/>
              </w:rPr>
              <w:t xml:space="preserve"> and implement</w:t>
            </w:r>
            <w:r w:rsidR="005769B1">
              <w:rPr>
                <w:rFonts w:ascii="Arial" w:hAnsi="Arial" w:cs="Arial"/>
              </w:rPr>
              <w:t>ation of</w:t>
            </w:r>
            <w:r w:rsidR="00496FEF">
              <w:rPr>
                <w:rFonts w:ascii="Arial" w:hAnsi="Arial" w:cs="Arial"/>
              </w:rPr>
              <w:t xml:space="preserve"> </w:t>
            </w:r>
            <w:r w:rsidR="00AD51B4">
              <w:rPr>
                <w:rFonts w:ascii="Arial" w:hAnsi="Arial" w:cs="Arial"/>
              </w:rPr>
              <w:t xml:space="preserve">best practices guidance </w:t>
            </w:r>
            <w:r w:rsidR="002B6486">
              <w:rPr>
                <w:rFonts w:ascii="Arial" w:hAnsi="Arial" w:cs="Arial"/>
              </w:rPr>
              <w:t xml:space="preserve">that enhance </w:t>
            </w:r>
            <w:r w:rsidR="00AD51B4">
              <w:rPr>
                <w:rFonts w:ascii="Arial" w:hAnsi="Arial" w:cs="Arial"/>
              </w:rPr>
              <w:t xml:space="preserve">the integrity of </w:t>
            </w:r>
            <w:r w:rsidR="002B6486">
              <w:rPr>
                <w:rFonts w:ascii="Arial" w:hAnsi="Arial" w:cs="Arial"/>
              </w:rPr>
              <w:t xml:space="preserve">contractor schedule and cost in support </w:t>
            </w:r>
            <w:r w:rsidR="00D936EF">
              <w:rPr>
                <w:rFonts w:ascii="Arial" w:hAnsi="Arial" w:cs="Arial"/>
              </w:rPr>
              <w:t xml:space="preserve">project deliveries. </w:t>
            </w:r>
          </w:p>
        </w:tc>
        <w:tc>
          <w:tcPr>
            <w:tcW w:w="1705" w:type="pct"/>
            <w:tcBorders>
              <w:left w:val="single" w:sz="8" w:space="0" w:color="4F81BD"/>
            </w:tcBorders>
          </w:tcPr>
          <w:p w:rsidR="00DE5968" w:rsidRDefault="00E33352" w:rsidP="00D313B5">
            <w:pPr>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10574D">
              <w:rPr>
                <w:rFonts w:ascii="Arial" w:eastAsiaTheme="minorHAnsi" w:hAnsi="Arial" w:cs="Arial"/>
              </w:rPr>
              <w:t>1.1.</w:t>
            </w:r>
            <w:r w:rsidR="002B6486">
              <w:rPr>
                <w:rFonts w:ascii="Arial" w:eastAsiaTheme="minorHAnsi" w:hAnsi="Arial" w:cs="Arial"/>
              </w:rPr>
              <w:t>1</w:t>
            </w:r>
            <w:r w:rsidR="002B6486" w:rsidRPr="0010574D">
              <w:rPr>
                <w:rFonts w:ascii="Arial" w:eastAsiaTheme="minorHAnsi" w:hAnsi="Arial" w:cs="Arial"/>
              </w:rPr>
              <w:t xml:space="preserve"> </w:t>
            </w:r>
            <w:r w:rsidR="00D936EF">
              <w:rPr>
                <w:rFonts w:ascii="Arial" w:eastAsiaTheme="minorHAnsi" w:hAnsi="Arial" w:cs="Arial"/>
              </w:rPr>
              <w:t>Provide q</w:t>
            </w:r>
            <w:r w:rsidRPr="0010574D">
              <w:rPr>
                <w:rFonts w:ascii="Arial" w:eastAsiaTheme="minorHAnsi" w:hAnsi="Arial" w:cs="Arial"/>
              </w:rPr>
              <w:t xml:space="preserve">ualified resources to support PM-30 </w:t>
            </w:r>
            <w:r w:rsidR="00D936EF">
              <w:rPr>
                <w:rFonts w:ascii="Arial" w:eastAsiaTheme="minorHAnsi" w:hAnsi="Arial" w:cs="Arial"/>
              </w:rPr>
              <w:t>and EM</w:t>
            </w:r>
            <w:r w:rsidR="008F6F9F">
              <w:rPr>
                <w:rFonts w:ascii="Arial" w:eastAsiaTheme="minorHAnsi" w:hAnsi="Arial" w:cs="Arial"/>
              </w:rPr>
              <w:t>-</w:t>
            </w:r>
            <w:r w:rsidR="00D936EF">
              <w:rPr>
                <w:rFonts w:ascii="Arial" w:eastAsiaTheme="minorHAnsi" w:hAnsi="Arial" w:cs="Arial"/>
              </w:rPr>
              <w:t>5.22 requests, as needed</w:t>
            </w:r>
          </w:p>
          <w:p w:rsidR="008D6CA3" w:rsidRDefault="008D6CA3" w:rsidP="00D313B5">
            <w:pPr>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
          <w:p w:rsidR="008D6CA3" w:rsidRDefault="008D6CA3" w:rsidP="00D313B5">
            <w:pPr>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
          <w:p w:rsidR="008D6CA3" w:rsidRDefault="008D6CA3" w:rsidP="00D313B5">
            <w:pPr>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
          <w:p w:rsidR="008D6CA3" w:rsidRDefault="008D6CA3" w:rsidP="00D313B5">
            <w:pPr>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
          <w:p w:rsidR="008D6CA3" w:rsidRDefault="008D6CA3" w:rsidP="00D313B5">
            <w:pPr>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
          <w:p w:rsidR="008D6CA3" w:rsidRPr="008D6CA3" w:rsidRDefault="008D6CA3" w:rsidP="00D313B5">
            <w:pPr>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rPr>
            </w:pPr>
            <w:r w:rsidRPr="008D6CA3">
              <w:rPr>
                <w:rFonts w:ascii="Arial" w:hAnsi="Arial" w:cs="Arial"/>
                <w:b/>
              </w:rPr>
              <w:t>Ongoing</w:t>
            </w:r>
          </w:p>
        </w:tc>
      </w:tr>
      <w:tr w:rsidR="001A6F8A" w:rsidRPr="005731BA"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873BC8" w:rsidRPr="00E2377B" w:rsidRDefault="001A6F8A" w:rsidP="007C54B9">
            <w:pPr>
              <w:jc w:val="left"/>
              <w:rPr>
                <w:rFonts w:ascii="Arial" w:hAnsi="Arial" w:cs="Arial"/>
                <w:b w:val="0"/>
              </w:rPr>
            </w:pPr>
            <w:r w:rsidRPr="00E2377B">
              <w:rPr>
                <w:rFonts w:ascii="Arial" w:hAnsi="Arial" w:cs="Arial"/>
                <w:b w:val="0"/>
              </w:rPr>
              <w:t>1.</w:t>
            </w:r>
            <w:r w:rsidR="008D6CA3">
              <w:rPr>
                <w:rFonts w:ascii="Arial" w:hAnsi="Arial" w:cs="Arial"/>
                <w:b w:val="0"/>
              </w:rPr>
              <w:t>2</w:t>
            </w:r>
            <w:r w:rsidRPr="00E2377B">
              <w:rPr>
                <w:rFonts w:ascii="Arial" w:hAnsi="Arial" w:cs="Arial"/>
                <w:b w:val="0"/>
              </w:rPr>
              <w:t xml:space="preserve"> Support PM-30 in d</w:t>
            </w:r>
            <w:r w:rsidR="008C6CEE">
              <w:rPr>
                <w:rFonts w:ascii="Arial" w:hAnsi="Arial" w:cs="Arial"/>
                <w:b w:val="0"/>
              </w:rPr>
              <w:t>evelopment of an EVMS Scorecard</w:t>
            </w:r>
          </w:p>
        </w:tc>
        <w:tc>
          <w:tcPr>
            <w:tcW w:w="1896" w:type="pct"/>
            <w:tcBorders>
              <w:left w:val="single" w:sz="8" w:space="0" w:color="4F81BD"/>
              <w:right w:val="single" w:sz="8" w:space="0" w:color="4F81BD"/>
            </w:tcBorders>
          </w:tcPr>
          <w:p w:rsidR="001A6F8A" w:rsidRPr="007C54B9" w:rsidRDefault="00D62276" w:rsidP="007C54B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Provides for a common point-of-reference to gauge the health </w:t>
            </w:r>
            <w:r w:rsidR="000A2316">
              <w:rPr>
                <w:rFonts w:ascii="Arial" w:hAnsi="Arial" w:cs="Arial"/>
              </w:rPr>
              <w:t xml:space="preserve">and maturity </w:t>
            </w:r>
            <w:r>
              <w:rPr>
                <w:rFonts w:ascii="Arial" w:hAnsi="Arial" w:cs="Arial"/>
              </w:rPr>
              <w:t>of contractor EVMS</w:t>
            </w:r>
          </w:p>
        </w:tc>
        <w:tc>
          <w:tcPr>
            <w:tcW w:w="1705" w:type="pct"/>
            <w:tcBorders>
              <w:left w:val="single" w:sz="8" w:space="0" w:color="4F81BD"/>
            </w:tcBorders>
          </w:tcPr>
          <w:p w:rsidR="001A6F8A" w:rsidRDefault="00D62276" w:rsidP="00384E3C">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8D6CA3">
              <w:rPr>
                <w:rFonts w:ascii="Arial" w:hAnsi="Arial" w:cs="Arial"/>
              </w:rPr>
              <w:t>2</w:t>
            </w:r>
            <w:r>
              <w:rPr>
                <w:rFonts w:ascii="Arial" w:hAnsi="Arial" w:cs="Arial"/>
              </w:rPr>
              <w:t xml:space="preserve">.1 </w:t>
            </w:r>
            <w:r w:rsidR="00384E3C">
              <w:rPr>
                <w:rFonts w:ascii="Arial" w:hAnsi="Arial" w:cs="Arial"/>
              </w:rPr>
              <w:t xml:space="preserve">Support the PM-30 ASU study </w:t>
            </w:r>
            <w:r w:rsidR="00C01BCC">
              <w:rPr>
                <w:rFonts w:ascii="Arial" w:hAnsi="Arial" w:cs="Arial"/>
              </w:rPr>
              <w:t xml:space="preserve">initiative and </w:t>
            </w:r>
            <w:r w:rsidR="00384E3C">
              <w:rPr>
                <w:rFonts w:ascii="Arial" w:hAnsi="Arial" w:cs="Arial"/>
              </w:rPr>
              <w:t>schedule</w:t>
            </w:r>
          </w:p>
          <w:p w:rsidR="00444C4D" w:rsidRDefault="00444C4D" w:rsidP="00384E3C">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444C4D" w:rsidRPr="00816844" w:rsidRDefault="00444C4D" w:rsidP="00384E3C">
            <w:pPr>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8D6CA3">
              <w:rPr>
                <w:rFonts w:ascii="Arial" w:hAnsi="Arial" w:cs="Arial"/>
                <w:b/>
              </w:rPr>
              <w:t>Ongoing</w:t>
            </w:r>
          </w:p>
        </w:tc>
      </w:tr>
      <w:tr w:rsidR="001A6F8A" w:rsidRPr="005731BA"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873BC8" w:rsidRPr="00E2377B" w:rsidRDefault="001A6F8A" w:rsidP="007C54B9">
            <w:pPr>
              <w:jc w:val="left"/>
              <w:rPr>
                <w:rFonts w:ascii="Arial" w:hAnsi="Arial" w:cs="Arial"/>
                <w:b w:val="0"/>
              </w:rPr>
            </w:pPr>
            <w:r w:rsidRPr="00E2377B">
              <w:rPr>
                <w:rFonts w:ascii="Arial" w:hAnsi="Arial" w:cs="Arial"/>
                <w:b w:val="0"/>
              </w:rPr>
              <w:t>1.</w:t>
            </w:r>
            <w:r w:rsidR="008D6CA3">
              <w:rPr>
                <w:rFonts w:ascii="Arial" w:hAnsi="Arial" w:cs="Arial"/>
                <w:b w:val="0"/>
              </w:rPr>
              <w:t>3</w:t>
            </w:r>
            <w:r w:rsidRPr="00E2377B">
              <w:rPr>
                <w:rFonts w:ascii="Arial" w:hAnsi="Arial" w:cs="Arial"/>
                <w:b w:val="0"/>
              </w:rPr>
              <w:t xml:space="preserve"> Support </w:t>
            </w:r>
            <w:r w:rsidR="00635360">
              <w:rPr>
                <w:rFonts w:ascii="Arial" w:hAnsi="Arial" w:cs="Arial"/>
                <w:b w:val="0"/>
              </w:rPr>
              <w:t>DOE</w:t>
            </w:r>
            <w:r w:rsidR="008C6CEE">
              <w:rPr>
                <w:rFonts w:ascii="Arial" w:hAnsi="Arial" w:cs="Arial"/>
                <w:b w:val="0"/>
              </w:rPr>
              <w:t xml:space="preserve"> on approach to EV alternatives</w:t>
            </w:r>
          </w:p>
        </w:tc>
        <w:tc>
          <w:tcPr>
            <w:tcW w:w="1896" w:type="pct"/>
            <w:tcBorders>
              <w:left w:val="single" w:sz="8" w:space="0" w:color="4F81BD"/>
              <w:right w:val="single" w:sz="8" w:space="0" w:color="4F81BD"/>
            </w:tcBorders>
          </w:tcPr>
          <w:p w:rsidR="001A6F8A" w:rsidRPr="007C54B9" w:rsidRDefault="00D62276" w:rsidP="00CB2C2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Provides alternative to the </w:t>
            </w:r>
            <w:r w:rsidR="00CB2C25">
              <w:rPr>
                <w:rFonts w:ascii="Arial" w:hAnsi="Arial" w:cs="Arial"/>
              </w:rPr>
              <w:t xml:space="preserve">typical approach and </w:t>
            </w:r>
            <w:r>
              <w:rPr>
                <w:rFonts w:ascii="Arial" w:hAnsi="Arial" w:cs="Arial"/>
              </w:rPr>
              <w:t xml:space="preserve">full rigor </w:t>
            </w:r>
            <w:r w:rsidR="00A37C84">
              <w:rPr>
                <w:rFonts w:ascii="Arial" w:hAnsi="Arial" w:cs="Arial"/>
              </w:rPr>
              <w:t xml:space="preserve">and discipline required </w:t>
            </w:r>
            <w:proofErr w:type="gramStart"/>
            <w:r w:rsidR="00A37C84">
              <w:rPr>
                <w:rFonts w:ascii="Arial" w:hAnsi="Arial" w:cs="Arial"/>
              </w:rPr>
              <w:t>for</w:t>
            </w:r>
            <w:r w:rsidR="00CB2C25">
              <w:rPr>
                <w:rFonts w:ascii="Arial" w:hAnsi="Arial" w:cs="Arial"/>
              </w:rPr>
              <w:t xml:space="preserve"> </w:t>
            </w:r>
            <w:r w:rsidR="00A37C84">
              <w:rPr>
                <w:rFonts w:ascii="Arial" w:hAnsi="Arial" w:cs="Arial"/>
              </w:rPr>
              <w:t xml:space="preserve"> EVMS</w:t>
            </w:r>
            <w:proofErr w:type="gramEnd"/>
            <w:r w:rsidR="00A37C84">
              <w:rPr>
                <w:rFonts w:ascii="Arial" w:hAnsi="Arial" w:cs="Arial"/>
              </w:rPr>
              <w:t xml:space="preserve"> implementation while providing the same level of assurance in cost and performance of project scope </w:t>
            </w:r>
          </w:p>
        </w:tc>
        <w:tc>
          <w:tcPr>
            <w:tcW w:w="1705" w:type="pct"/>
            <w:tcBorders>
              <w:left w:val="single" w:sz="8" w:space="0" w:color="4F81BD"/>
            </w:tcBorders>
          </w:tcPr>
          <w:p w:rsidR="00444C4D" w:rsidRDefault="008D6CA3" w:rsidP="00EE2DFE">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D6CA3">
              <w:rPr>
                <w:rFonts w:ascii="Arial" w:hAnsi="Arial" w:cs="Arial"/>
              </w:rPr>
              <w:t>1.</w:t>
            </w:r>
            <w:r>
              <w:rPr>
                <w:rFonts w:ascii="Arial" w:hAnsi="Arial" w:cs="Arial"/>
              </w:rPr>
              <w:t>3</w:t>
            </w:r>
            <w:r w:rsidRPr="008D6CA3">
              <w:rPr>
                <w:rFonts w:ascii="Arial" w:hAnsi="Arial" w:cs="Arial"/>
              </w:rPr>
              <w:t>.1 Discuss and define the deliverable with NNSA and other interested stakeholders to identify what product deliverables are considered value added</w:t>
            </w:r>
          </w:p>
          <w:p w:rsidR="008D6CA3" w:rsidRDefault="008D6CA3" w:rsidP="00EE2DFE">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444C4D" w:rsidRPr="00013C8E" w:rsidRDefault="008D6CA3" w:rsidP="00290027">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8D6CA3">
              <w:rPr>
                <w:rFonts w:ascii="Arial" w:hAnsi="Arial" w:cs="Arial"/>
                <w:b/>
              </w:rPr>
              <w:t>Ongoing</w:t>
            </w:r>
          </w:p>
        </w:tc>
      </w:tr>
      <w:tr w:rsidR="001A6F8A" w:rsidRPr="005731BA"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873BC8" w:rsidRPr="00E2377B" w:rsidRDefault="001A6F8A" w:rsidP="007C54B9">
            <w:pPr>
              <w:jc w:val="left"/>
              <w:rPr>
                <w:rFonts w:ascii="Arial" w:hAnsi="Arial" w:cs="Arial"/>
                <w:b w:val="0"/>
              </w:rPr>
            </w:pPr>
            <w:r w:rsidRPr="00E2377B">
              <w:rPr>
                <w:rFonts w:ascii="Arial" w:hAnsi="Arial" w:cs="Arial"/>
                <w:b w:val="0"/>
              </w:rPr>
              <w:t>1.</w:t>
            </w:r>
            <w:r w:rsidR="008D6CA3">
              <w:rPr>
                <w:rFonts w:ascii="Arial" w:hAnsi="Arial" w:cs="Arial"/>
                <w:b w:val="0"/>
              </w:rPr>
              <w:t>4</w:t>
            </w:r>
            <w:r w:rsidRPr="00E2377B">
              <w:rPr>
                <w:rFonts w:ascii="Arial" w:hAnsi="Arial" w:cs="Arial"/>
                <w:b w:val="0"/>
              </w:rPr>
              <w:t xml:space="preserve"> Support PM</w:t>
            </w:r>
            <w:r w:rsidR="008C6CEE">
              <w:rPr>
                <w:rFonts w:ascii="Arial" w:hAnsi="Arial" w:cs="Arial"/>
                <w:b w:val="0"/>
              </w:rPr>
              <w:t>-30 with Document/Guide updates</w:t>
            </w:r>
          </w:p>
        </w:tc>
        <w:tc>
          <w:tcPr>
            <w:tcW w:w="1896" w:type="pct"/>
            <w:tcBorders>
              <w:left w:val="single" w:sz="8" w:space="0" w:color="4F81BD"/>
              <w:right w:val="single" w:sz="8" w:space="0" w:color="4F81BD"/>
            </w:tcBorders>
          </w:tcPr>
          <w:p w:rsidR="001A6F8A" w:rsidRPr="007C54B9" w:rsidRDefault="00C66621" w:rsidP="007C54B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Updated documents reflect the latest positions/decisions based on collaborative effort by DOE and EFCOG </w:t>
            </w:r>
          </w:p>
        </w:tc>
        <w:tc>
          <w:tcPr>
            <w:tcW w:w="1705" w:type="pct"/>
            <w:tcBorders>
              <w:left w:val="single" w:sz="8" w:space="0" w:color="4F81BD"/>
            </w:tcBorders>
          </w:tcPr>
          <w:p w:rsidR="001A6F8A" w:rsidRDefault="008D6CA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1.4.1 </w:t>
            </w:r>
            <w:r w:rsidR="00C66621">
              <w:rPr>
                <w:rFonts w:ascii="Arial" w:hAnsi="Arial" w:cs="Arial"/>
              </w:rPr>
              <w:t>Support as required</w:t>
            </w:r>
          </w:p>
          <w:p w:rsidR="00444C4D" w:rsidRDefault="00444C4D"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444C4D" w:rsidRDefault="00444C4D"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444C4D" w:rsidRDefault="00444C4D"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444C4D" w:rsidRPr="00013C8E" w:rsidRDefault="00444C4D"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8D6CA3">
              <w:rPr>
                <w:rFonts w:ascii="Arial" w:hAnsi="Arial" w:cs="Arial"/>
                <w:b/>
              </w:rPr>
              <w:t>Ongoing</w:t>
            </w:r>
          </w:p>
        </w:tc>
      </w:tr>
      <w:tr w:rsidR="00635360" w:rsidRPr="005731BA"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635360" w:rsidRPr="00473CA0" w:rsidRDefault="004C01EB" w:rsidP="004C01EB">
            <w:pPr>
              <w:jc w:val="left"/>
              <w:rPr>
                <w:rFonts w:ascii="Arial" w:hAnsi="Arial" w:cs="Arial"/>
                <w:b w:val="0"/>
              </w:rPr>
            </w:pPr>
            <w:r w:rsidRPr="00473CA0">
              <w:rPr>
                <w:rFonts w:ascii="Arial" w:hAnsi="Arial" w:cs="Arial"/>
                <w:b w:val="0"/>
              </w:rPr>
              <w:t xml:space="preserve">1.5 </w:t>
            </w:r>
            <w:r w:rsidR="00635360" w:rsidRPr="00473CA0">
              <w:rPr>
                <w:rFonts w:ascii="Arial" w:hAnsi="Arial" w:cs="Arial"/>
                <w:b w:val="0"/>
              </w:rPr>
              <w:t xml:space="preserve">Define 413 Tailoring Strategy </w:t>
            </w:r>
          </w:p>
        </w:tc>
        <w:tc>
          <w:tcPr>
            <w:tcW w:w="1896" w:type="pct"/>
            <w:tcBorders>
              <w:left w:val="single" w:sz="8" w:space="0" w:color="4F81BD"/>
              <w:right w:val="single" w:sz="8" w:space="0" w:color="4F81BD"/>
            </w:tcBorders>
          </w:tcPr>
          <w:p w:rsidR="00635360" w:rsidRPr="00473CA0" w:rsidRDefault="004C01EB" w:rsidP="004C01E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73CA0">
              <w:rPr>
                <w:rFonts w:ascii="Arial" w:hAnsi="Arial" w:cs="Arial"/>
              </w:rPr>
              <w:t>Provides a tailored approach to 413</w:t>
            </w:r>
          </w:p>
        </w:tc>
        <w:tc>
          <w:tcPr>
            <w:tcW w:w="1705" w:type="pct"/>
            <w:tcBorders>
              <w:left w:val="single" w:sz="8" w:space="0" w:color="4F81BD"/>
            </w:tcBorders>
          </w:tcPr>
          <w:p w:rsidR="004C01EB" w:rsidRPr="00473CA0" w:rsidRDefault="004C01EB" w:rsidP="004C01EB">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73CA0">
              <w:rPr>
                <w:rFonts w:ascii="Arial" w:hAnsi="Arial" w:cs="Arial"/>
              </w:rPr>
              <w:t>1.5.1 Document and gain a consensus problem statement</w:t>
            </w:r>
          </w:p>
          <w:p w:rsidR="00473CA0" w:rsidRPr="00473CA0" w:rsidRDefault="004C01EB" w:rsidP="004C01EB">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73CA0">
              <w:rPr>
                <w:rFonts w:ascii="Arial" w:hAnsi="Arial" w:cs="Arial"/>
              </w:rPr>
              <w:t xml:space="preserve">1.5.2 Evaluate the problem statement and determine if tailoring of 413 is </w:t>
            </w:r>
            <w:r w:rsidR="00473CA0" w:rsidRPr="00473CA0">
              <w:rPr>
                <w:rFonts w:ascii="Arial" w:hAnsi="Arial" w:cs="Arial"/>
              </w:rPr>
              <w:t>practical and achievable</w:t>
            </w:r>
          </w:p>
          <w:p w:rsidR="00473CA0" w:rsidRPr="00473CA0" w:rsidRDefault="00473CA0" w:rsidP="004C01EB">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73CA0">
              <w:rPr>
                <w:rFonts w:ascii="Arial" w:hAnsi="Arial" w:cs="Arial"/>
              </w:rPr>
              <w:t>1.5.3 I</w:t>
            </w:r>
            <w:r w:rsidR="00CD6EFD">
              <w:rPr>
                <w:rFonts w:ascii="Arial" w:hAnsi="Arial" w:cs="Arial"/>
              </w:rPr>
              <w:t xml:space="preserve">dentify </w:t>
            </w:r>
            <w:r w:rsidRPr="00473CA0">
              <w:rPr>
                <w:rFonts w:ascii="Arial" w:hAnsi="Arial" w:cs="Arial"/>
              </w:rPr>
              <w:t>practical and achievable</w:t>
            </w:r>
            <w:r w:rsidR="00CD6EFD">
              <w:rPr>
                <w:rFonts w:ascii="Arial" w:hAnsi="Arial" w:cs="Arial"/>
              </w:rPr>
              <w:t xml:space="preserve"> strategies for tailoring options and to </w:t>
            </w:r>
            <w:r w:rsidRPr="00473CA0">
              <w:rPr>
                <w:rFonts w:ascii="Arial" w:hAnsi="Arial" w:cs="Arial"/>
              </w:rPr>
              <w:t xml:space="preserve">PM-30 </w:t>
            </w:r>
            <w:r w:rsidR="00CD6EFD">
              <w:rPr>
                <w:rFonts w:ascii="Arial" w:hAnsi="Arial" w:cs="Arial"/>
              </w:rPr>
              <w:t xml:space="preserve">for their </w:t>
            </w:r>
            <w:r w:rsidRPr="00473CA0">
              <w:rPr>
                <w:rFonts w:ascii="Arial" w:hAnsi="Arial" w:cs="Arial"/>
              </w:rPr>
              <w:t>evaluation</w:t>
            </w:r>
          </w:p>
          <w:p w:rsidR="00473CA0" w:rsidRPr="00473CA0" w:rsidRDefault="00473CA0" w:rsidP="004C01EB">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635360" w:rsidRPr="00473CA0" w:rsidRDefault="00473CA0" w:rsidP="004C01EB">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473CA0">
              <w:rPr>
                <w:rFonts w:ascii="Arial" w:hAnsi="Arial" w:cs="Arial"/>
                <w:b/>
              </w:rPr>
              <w:t>New</w:t>
            </w:r>
            <w:r w:rsidR="00620583">
              <w:rPr>
                <w:rFonts w:ascii="Arial" w:hAnsi="Arial" w:cs="Arial"/>
                <w:b/>
              </w:rPr>
              <w:t>/</w:t>
            </w:r>
            <w:proofErr w:type="gramStart"/>
            <w:r w:rsidR="00620583">
              <w:rPr>
                <w:rFonts w:ascii="Arial" w:hAnsi="Arial" w:cs="Arial"/>
                <w:b/>
              </w:rPr>
              <w:t>Proposed</w:t>
            </w:r>
            <w:r w:rsidR="004C01EB" w:rsidRPr="00473CA0">
              <w:rPr>
                <w:rFonts w:ascii="Arial" w:hAnsi="Arial" w:cs="Arial"/>
                <w:b/>
              </w:rPr>
              <w:t xml:space="preserve">   </w:t>
            </w:r>
            <w:proofErr w:type="gramEnd"/>
          </w:p>
        </w:tc>
      </w:tr>
      <w:tr w:rsidR="00340EB8" w:rsidRPr="005731BA"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340EB8" w:rsidRPr="00620583" w:rsidRDefault="008754F1" w:rsidP="007C54B9">
            <w:pPr>
              <w:jc w:val="left"/>
              <w:rPr>
                <w:rFonts w:ascii="Arial" w:hAnsi="Arial" w:cs="Arial"/>
                <w:b w:val="0"/>
              </w:rPr>
            </w:pPr>
            <w:r w:rsidRPr="00620583">
              <w:rPr>
                <w:rFonts w:ascii="Arial" w:hAnsi="Arial" w:cs="Arial"/>
                <w:b w:val="0"/>
              </w:rPr>
              <w:t>1.</w:t>
            </w:r>
            <w:r w:rsidR="00620583" w:rsidRPr="00620583">
              <w:rPr>
                <w:rFonts w:ascii="Arial" w:hAnsi="Arial" w:cs="Arial"/>
                <w:b w:val="0"/>
              </w:rPr>
              <w:t>6</w:t>
            </w:r>
            <w:r w:rsidRPr="00620583">
              <w:rPr>
                <w:rFonts w:ascii="Arial" w:hAnsi="Arial" w:cs="Arial"/>
                <w:b w:val="0"/>
              </w:rPr>
              <w:t xml:space="preserve"> Support PM-30 with development of best practices for implementing EVM tools to feed DOE/NNSA reports</w:t>
            </w: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7C54B9">
            <w:pPr>
              <w:jc w:val="left"/>
              <w:rPr>
                <w:rFonts w:ascii="Arial" w:hAnsi="Arial" w:cs="Arial"/>
                <w:b w:val="0"/>
              </w:rPr>
            </w:pPr>
          </w:p>
          <w:p w:rsidR="00B1593A" w:rsidRPr="00620583" w:rsidRDefault="00B1593A" w:rsidP="001138C1">
            <w:pPr>
              <w:jc w:val="left"/>
              <w:rPr>
                <w:rFonts w:ascii="Arial" w:hAnsi="Arial" w:cs="Arial"/>
              </w:rPr>
            </w:pPr>
          </w:p>
        </w:tc>
        <w:tc>
          <w:tcPr>
            <w:tcW w:w="1896" w:type="pct"/>
            <w:tcBorders>
              <w:left w:val="single" w:sz="8" w:space="0" w:color="4F81BD"/>
              <w:right w:val="single" w:sz="8" w:space="0" w:color="4F81BD"/>
            </w:tcBorders>
          </w:tcPr>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lastRenderedPageBreak/>
              <w:t>Identify Guidelines that support Enterprise using Cost &amp; Schedule tools</w:t>
            </w:r>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t>New Site, New Contractor, New Tools-Dealing with Legacy Data</w:t>
            </w:r>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t>Set up to do Self-Governance</w:t>
            </w:r>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lastRenderedPageBreak/>
              <w:t>Streamline Reporting</w:t>
            </w:r>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t>Good Configuration Control</w:t>
            </w:r>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sidRPr="00620583">
              <w:rPr>
                <w:rFonts w:ascii="Arial" w:hAnsi="Arial" w:cs="Arial"/>
                <w:sz w:val="20"/>
              </w:rPr>
              <w:t>Tailorable</w:t>
            </w:r>
            <w:proofErr w:type="spellEnd"/>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t>Recommendations for Project/Program Setup</w:t>
            </w:r>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t>Contractor Transition</w:t>
            </w:r>
          </w:p>
          <w:p w:rsidR="00B1593A"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t>Reporting to DOE</w:t>
            </w:r>
          </w:p>
          <w:p w:rsidR="00340EB8" w:rsidRPr="00620583" w:rsidRDefault="00B1593A" w:rsidP="00B1593A">
            <w:pPr>
              <w:pStyle w:val="ListParagraph"/>
              <w:numPr>
                <w:ilvl w:val="0"/>
                <w:numId w:val="6"/>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0583">
              <w:rPr>
                <w:rFonts w:ascii="Arial" w:hAnsi="Arial" w:cs="Arial"/>
                <w:sz w:val="20"/>
              </w:rPr>
              <w:t>Establish a framework to capture lessons learned specific to these objectives.</w:t>
            </w:r>
          </w:p>
        </w:tc>
        <w:tc>
          <w:tcPr>
            <w:tcW w:w="1705" w:type="pct"/>
            <w:tcBorders>
              <w:left w:val="single" w:sz="8" w:space="0" w:color="4F81BD"/>
            </w:tcBorders>
          </w:tcPr>
          <w:p w:rsidR="00340EB8"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20583">
              <w:rPr>
                <w:rFonts w:ascii="Arial" w:hAnsi="Arial" w:cs="Arial"/>
              </w:rPr>
              <w:lastRenderedPageBreak/>
              <w:t xml:space="preserve">1.6.1 </w:t>
            </w:r>
            <w:r w:rsidR="00B1593A" w:rsidRPr="00620583">
              <w:rPr>
                <w:rFonts w:ascii="Arial" w:hAnsi="Arial" w:cs="Arial"/>
              </w:rPr>
              <w:t xml:space="preserve">Develop a guide that will support new DOE contractors and/or new sites with setting up new tools that pull in legacy data.  Best practices for setting up a new project/program, streamlining reporting, establishing and maintaining good </w:t>
            </w:r>
            <w:r w:rsidR="00B1593A" w:rsidRPr="00620583">
              <w:rPr>
                <w:rFonts w:ascii="Arial" w:hAnsi="Arial" w:cs="Arial"/>
              </w:rPr>
              <w:lastRenderedPageBreak/>
              <w:t>configuration control and a lessons learned program.</w:t>
            </w:r>
          </w:p>
          <w:p w:rsid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20583" w:rsidRPr="00620583" w:rsidRDefault="00620583" w:rsidP="00873055">
            <w:pPr>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620583">
              <w:rPr>
                <w:rFonts w:ascii="Arial" w:hAnsi="Arial" w:cs="Arial"/>
                <w:b/>
              </w:rPr>
              <w:t>New/Proposed</w:t>
            </w:r>
          </w:p>
        </w:tc>
      </w:tr>
      <w:tr w:rsidR="00043BF0" w:rsidRPr="005731BA" w:rsidTr="0089112C">
        <w:trPr>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rsidR="00043BF0" w:rsidRPr="00E2377B" w:rsidRDefault="002E5387" w:rsidP="00043BF0">
            <w:pPr>
              <w:jc w:val="center"/>
              <w:rPr>
                <w:rFonts w:ascii="Arial" w:hAnsi="Arial" w:cs="Arial"/>
              </w:rPr>
            </w:pPr>
            <w:r w:rsidRPr="00E2377B">
              <w:rPr>
                <w:rFonts w:ascii="Arial" w:hAnsi="Arial" w:cs="Arial"/>
              </w:rPr>
              <w:lastRenderedPageBreak/>
              <w:t xml:space="preserve">2.0 </w:t>
            </w:r>
            <w:r w:rsidR="00043BF0" w:rsidRPr="00E2377B">
              <w:rPr>
                <w:rFonts w:ascii="Arial" w:hAnsi="Arial" w:cs="Arial"/>
              </w:rPr>
              <w:t>Project Management</w:t>
            </w:r>
          </w:p>
        </w:tc>
      </w:tr>
      <w:tr w:rsidR="00E33352" w:rsidRPr="0010574D"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D5278B" w:rsidRPr="005C53E5" w:rsidRDefault="00E33352" w:rsidP="006E6D27">
            <w:pPr>
              <w:jc w:val="left"/>
              <w:rPr>
                <w:rFonts w:ascii="Arial" w:hAnsi="Arial" w:cs="Arial"/>
                <w:b w:val="0"/>
              </w:rPr>
            </w:pPr>
            <w:r w:rsidRPr="00E2377B">
              <w:rPr>
                <w:rFonts w:ascii="Arial" w:hAnsi="Arial" w:cs="Arial"/>
                <w:b w:val="0"/>
              </w:rPr>
              <w:t>2.1 Support DOE efforts in the development of DOE guides and revisions. Provide review comments, support comment disposition/</w:t>
            </w:r>
            <w:r w:rsidR="005C53E5">
              <w:rPr>
                <w:rFonts w:ascii="Arial" w:hAnsi="Arial" w:cs="Arial"/>
                <w:b w:val="0"/>
              </w:rPr>
              <w:t>resolution, and implementation.</w:t>
            </w:r>
          </w:p>
        </w:tc>
        <w:tc>
          <w:tcPr>
            <w:tcW w:w="1896" w:type="pct"/>
            <w:tcBorders>
              <w:left w:val="single" w:sz="8" w:space="0" w:color="4F81BD"/>
              <w:right w:val="single" w:sz="8" w:space="0" w:color="4F81BD"/>
            </w:tcBorders>
          </w:tcPr>
          <w:p w:rsidR="00E33352" w:rsidRPr="0010574D" w:rsidRDefault="00E33352" w:rsidP="00384E3C">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Ensure that process</w:t>
            </w:r>
            <w:r w:rsidR="00384E3C">
              <w:rPr>
                <w:rFonts w:ascii="Arial" w:hAnsi="Arial" w:cs="Arial"/>
              </w:rPr>
              <w:t xml:space="preserve"> </w:t>
            </w:r>
            <w:r w:rsidRPr="0010574D">
              <w:rPr>
                <w:rFonts w:ascii="Arial" w:hAnsi="Arial" w:cs="Arial"/>
              </w:rPr>
              <w:t>/</w:t>
            </w:r>
            <w:r w:rsidR="00384E3C">
              <w:rPr>
                <w:rFonts w:ascii="Arial" w:hAnsi="Arial" w:cs="Arial"/>
              </w:rPr>
              <w:t xml:space="preserve"> </w:t>
            </w:r>
            <w:r w:rsidRPr="0010574D">
              <w:rPr>
                <w:rFonts w:ascii="Arial" w:hAnsi="Arial" w:cs="Arial"/>
              </w:rPr>
              <w:t>step</w:t>
            </w:r>
            <w:r w:rsidR="00384E3C">
              <w:rPr>
                <w:rFonts w:ascii="Arial" w:hAnsi="Arial" w:cs="Arial"/>
              </w:rPr>
              <w:t xml:space="preserve"> </w:t>
            </w:r>
            <w:r w:rsidRPr="0010574D">
              <w:rPr>
                <w:rFonts w:ascii="Arial" w:hAnsi="Arial" w:cs="Arial"/>
              </w:rPr>
              <w:t>/</w:t>
            </w:r>
            <w:r w:rsidR="00384E3C">
              <w:rPr>
                <w:rFonts w:ascii="Arial" w:hAnsi="Arial" w:cs="Arial"/>
              </w:rPr>
              <w:t xml:space="preserve"> </w:t>
            </w:r>
            <w:r w:rsidRPr="0010574D">
              <w:rPr>
                <w:rFonts w:ascii="Arial" w:hAnsi="Arial" w:cs="Arial"/>
              </w:rPr>
              <w:t>deliverable changes resulting from the revised documents are clearly stated and support consistent implementation by DOE contractors.</w:t>
            </w:r>
          </w:p>
        </w:tc>
        <w:tc>
          <w:tcPr>
            <w:tcW w:w="1705" w:type="pct"/>
            <w:tcBorders>
              <w:left w:val="single" w:sz="8" w:space="0" w:color="4F81BD"/>
            </w:tcBorders>
          </w:tcPr>
          <w:p w:rsidR="00E33352" w:rsidRDefault="00E33352" w:rsidP="006C25A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2.1.1 Provide comments to DOE HQ point of contact on proposed ch</w:t>
            </w:r>
            <w:r w:rsidR="006E6D27">
              <w:rPr>
                <w:rFonts w:ascii="Arial" w:hAnsi="Arial" w:cs="Arial"/>
              </w:rPr>
              <w:t>anges to applicable DOE guides</w:t>
            </w:r>
          </w:p>
          <w:p w:rsidR="006E6D27" w:rsidRDefault="006E6D27" w:rsidP="006C25A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E6D27" w:rsidRDefault="006E6D27" w:rsidP="006C25A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E6D27" w:rsidRDefault="006E6D27" w:rsidP="006C25A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E6D27" w:rsidRDefault="006E6D27" w:rsidP="006C25A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E6D27" w:rsidRDefault="006E6D27" w:rsidP="006C25A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E6D27" w:rsidRPr="00EE2913" w:rsidRDefault="006E6D27" w:rsidP="006C25AD">
            <w:pPr>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5C53E5">
              <w:rPr>
                <w:rFonts w:ascii="Arial" w:hAnsi="Arial" w:cs="Arial"/>
                <w:b/>
              </w:rPr>
              <w:t>Ongoing</w:t>
            </w:r>
          </w:p>
        </w:tc>
      </w:tr>
      <w:tr w:rsidR="00E33352" w:rsidRPr="0010574D"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E2377B" w:rsidRDefault="00E33352" w:rsidP="0010574D">
            <w:pPr>
              <w:jc w:val="left"/>
              <w:rPr>
                <w:rFonts w:ascii="Arial" w:hAnsi="Arial" w:cs="Arial"/>
                <w:b w:val="0"/>
              </w:rPr>
            </w:pPr>
            <w:r w:rsidRPr="00E2377B">
              <w:rPr>
                <w:rFonts w:ascii="Arial" w:hAnsi="Arial" w:cs="Arial"/>
                <w:b w:val="0"/>
              </w:rPr>
              <w:t>2.2 Continue to provide Project Peer review candidates based on DOE request</w:t>
            </w:r>
          </w:p>
          <w:p w:rsidR="003C1D37" w:rsidRPr="00E2377B" w:rsidRDefault="003C1D37">
            <w:pPr>
              <w:jc w:val="left"/>
              <w:rPr>
                <w:rFonts w:ascii="Arial" w:hAnsi="Arial" w:cs="Arial"/>
                <w:i/>
              </w:rPr>
            </w:pPr>
          </w:p>
          <w:p w:rsidR="00E33352" w:rsidRPr="00E2377B" w:rsidRDefault="00E33352">
            <w:pPr>
              <w:jc w:val="left"/>
              <w:rPr>
                <w:rFonts w:ascii="Arial" w:hAnsi="Arial" w:cs="Arial"/>
              </w:rPr>
            </w:pPr>
          </w:p>
        </w:tc>
        <w:tc>
          <w:tcPr>
            <w:tcW w:w="1896" w:type="pct"/>
            <w:tcBorders>
              <w:left w:val="single" w:sz="8" w:space="0" w:color="4F81BD"/>
              <w:right w:val="single" w:sz="8" w:space="0" w:color="4F81BD"/>
            </w:tcBorders>
          </w:tcPr>
          <w:p w:rsidR="00E33352" w:rsidRPr="0010574D" w:rsidRDefault="00E33352" w:rsidP="0010574D">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DOE receives Contractor resources to perform reviews, Contractors receive the educational benefit and perspective</w:t>
            </w:r>
          </w:p>
        </w:tc>
        <w:tc>
          <w:tcPr>
            <w:tcW w:w="1705" w:type="pct"/>
            <w:tcBorders>
              <w:left w:val="single" w:sz="8" w:space="0" w:color="4F81BD"/>
            </w:tcBorders>
          </w:tcPr>
          <w:p w:rsidR="00E33352" w:rsidRDefault="00E33352" w:rsidP="00EE2DFE">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 xml:space="preserve">2.2.1 Provide qualified resources for </w:t>
            </w:r>
            <w:r w:rsidR="00EE2DFE">
              <w:rPr>
                <w:rFonts w:ascii="Arial" w:hAnsi="Arial" w:cs="Arial"/>
              </w:rPr>
              <w:t xml:space="preserve">agency </w:t>
            </w:r>
            <w:r w:rsidRPr="0010574D">
              <w:rPr>
                <w:rFonts w:ascii="Arial" w:hAnsi="Arial" w:cs="Arial"/>
              </w:rPr>
              <w:t>reviews as requested</w:t>
            </w:r>
          </w:p>
          <w:p w:rsidR="006E6D27" w:rsidRDefault="006E6D27" w:rsidP="00EE2DFE">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6E6D27" w:rsidRDefault="006E6D27" w:rsidP="00EE2DFE">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6E6D27" w:rsidRPr="00EE2913" w:rsidRDefault="006E6D27" w:rsidP="00EE2DFE">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5C53E5">
              <w:rPr>
                <w:rFonts w:ascii="Arial" w:hAnsi="Arial" w:cs="Arial"/>
                <w:b/>
              </w:rPr>
              <w:t>Ongoing</w:t>
            </w:r>
          </w:p>
        </w:tc>
      </w:tr>
      <w:tr w:rsidR="001319EC" w:rsidRPr="0010574D"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1319EC" w:rsidRPr="00E2377B" w:rsidRDefault="001319EC" w:rsidP="001319EC">
            <w:pPr>
              <w:jc w:val="left"/>
              <w:rPr>
                <w:rFonts w:ascii="Arial" w:hAnsi="Arial" w:cs="Arial"/>
                <w:b w:val="0"/>
              </w:rPr>
            </w:pPr>
            <w:r w:rsidRPr="00E2377B">
              <w:rPr>
                <w:rFonts w:ascii="Arial" w:hAnsi="Arial" w:cs="Arial"/>
                <w:b w:val="0"/>
              </w:rPr>
              <w:t>2.</w:t>
            </w:r>
            <w:r w:rsidR="00B622CD" w:rsidRPr="00E2377B">
              <w:rPr>
                <w:rFonts w:ascii="Arial" w:hAnsi="Arial" w:cs="Arial"/>
                <w:b w:val="0"/>
              </w:rPr>
              <w:t>3</w:t>
            </w:r>
            <w:r w:rsidRPr="00E2377B">
              <w:rPr>
                <w:rFonts w:ascii="Arial" w:hAnsi="Arial" w:cs="Arial"/>
                <w:b w:val="0"/>
              </w:rPr>
              <w:t xml:space="preserve"> Make final edits to 12 Step Estimating Tool.</w:t>
            </w:r>
          </w:p>
          <w:p w:rsidR="001319EC" w:rsidRPr="00E2377B" w:rsidRDefault="001319EC" w:rsidP="001319EC">
            <w:pPr>
              <w:jc w:val="left"/>
              <w:rPr>
                <w:rFonts w:ascii="Arial" w:hAnsi="Arial" w:cs="Arial"/>
                <w:b w:val="0"/>
              </w:rPr>
            </w:pPr>
          </w:p>
          <w:p w:rsidR="001319EC" w:rsidRPr="00E2377B" w:rsidRDefault="001319EC" w:rsidP="003609D8">
            <w:pPr>
              <w:jc w:val="left"/>
              <w:rPr>
                <w:rFonts w:ascii="Arial" w:hAnsi="Arial" w:cs="Arial"/>
              </w:rPr>
            </w:pPr>
          </w:p>
        </w:tc>
        <w:tc>
          <w:tcPr>
            <w:tcW w:w="1896" w:type="pct"/>
            <w:tcBorders>
              <w:left w:val="single" w:sz="8" w:space="0" w:color="4F81BD"/>
              <w:right w:val="single" w:sz="8" w:space="0" w:color="4F81BD"/>
            </w:tcBorders>
          </w:tcPr>
          <w:p w:rsidR="001319EC" w:rsidRPr="006B1A62" w:rsidRDefault="001319EC"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319EC">
              <w:rPr>
                <w:rFonts w:ascii="Arial" w:hAnsi="Arial" w:cs="Arial"/>
              </w:rPr>
              <w:t xml:space="preserve">Provide documented best practices in action to meeting the GAO 12-Step process in a </w:t>
            </w:r>
            <w:proofErr w:type="spellStart"/>
            <w:r w:rsidRPr="001319EC">
              <w:rPr>
                <w:rFonts w:ascii="Arial" w:hAnsi="Arial" w:cs="Arial"/>
              </w:rPr>
              <w:t>tailorable</w:t>
            </w:r>
            <w:proofErr w:type="spellEnd"/>
            <w:r w:rsidRPr="001319EC">
              <w:rPr>
                <w:rFonts w:ascii="Arial" w:hAnsi="Arial" w:cs="Arial"/>
              </w:rPr>
              <w:t xml:space="preserve"> format.</w:t>
            </w:r>
          </w:p>
        </w:tc>
        <w:tc>
          <w:tcPr>
            <w:tcW w:w="1705" w:type="pct"/>
            <w:tcBorders>
              <w:left w:val="single" w:sz="8" w:space="0" w:color="4F81BD"/>
            </w:tcBorders>
          </w:tcPr>
          <w:p w:rsidR="001319EC" w:rsidRDefault="001319EC" w:rsidP="00B622C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B622CD">
              <w:rPr>
                <w:rFonts w:ascii="Arial" w:hAnsi="Arial" w:cs="Arial"/>
              </w:rPr>
              <w:t>3</w:t>
            </w:r>
            <w:r>
              <w:rPr>
                <w:rFonts w:ascii="Arial" w:hAnsi="Arial" w:cs="Arial"/>
              </w:rPr>
              <w:t>.</w:t>
            </w:r>
            <w:r w:rsidR="00B622CD">
              <w:rPr>
                <w:rFonts w:ascii="Arial" w:hAnsi="Arial" w:cs="Arial"/>
              </w:rPr>
              <w:t>1</w:t>
            </w:r>
            <w:r>
              <w:rPr>
                <w:rFonts w:ascii="Arial" w:hAnsi="Arial" w:cs="Arial"/>
              </w:rPr>
              <w:t xml:space="preserve"> </w:t>
            </w:r>
            <w:r w:rsidRPr="001319EC">
              <w:rPr>
                <w:rFonts w:ascii="Arial" w:hAnsi="Arial" w:cs="Arial"/>
              </w:rPr>
              <w:t xml:space="preserve">Upload revised 12-Step tool (Version 1.2) to EFCOG </w:t>
            </w:r>
            <w:r>
              <w:rPr>
                <w:rFonts w:ascii="Arial" w:hAnsi="Arial" w:cs="Arial"/>
              </w:rPr>
              <w:t>webpage</w:t>
            </w:r>
          </w:p>
          <w:p w:rsidR="006978E7" w:rsidRDefault="006978E7" w:rsidP="00B622C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978E7" w:rsidRPr="004E0B79" w:rsidRDefault="00BE5A88" w:rsidP="00BE5A88">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E0B79">
              <w:rPr>
                <w:rFonts w:ascii="Arial" w:hAnsi="Arial" w:cs="Arial"/>
              </w:rPr>
              <w:t>The l</w:t>
            </w:r>
            <w:r w:rsidR="00547480" w:rsidRPr="004E0B79">
              <w:rPr>
                <w:rFonts w:ascii="Arial" w:hAnsi="Arial" w:cs="Arial"/>
              </w:rPr>
              <w:t xml:space="preserve">atest </w:t>
            </w:r>
            <w:r w:rsidRPr="004E0B79">
              <w:rPr>
                <w:rFonts w:ascii="Arial" w:hAnsi="Arial" w:cs="Arial"/>
              </w:rPr>
              <w:t xml:space="preserve">beta version </w:t>
            </w:r>
            <w:r w:rsidR="00547480" w:rsidRPr="004E0B79">
              <w:rPr>
                <w:rFonts w:ascii="Arial" w:hAnsi="Arial" w:cs="Arial"/>
              </w:rPr>
              <w:t xml:space="preserve">of the tool </w:t>
            </w:r>
            <w:r w:rsidRPr="004E0B79">
              <w:rPr>
                <w:rFonts w:ascii="Arial" w:hAnsi="Arial" w:cs="Arial"/>
              </w:rPr>
              <w:t xml:space="preserve">has been distributed to the PDWG for comment/testing.  Feedback will be received and reviewed for any necessary updates to the tool, facilitating release of the tool for use in FY2020. </w:t>
            </w:r>
          </w:p>
          <w:p w:rsidR="006F7546" w:rsidRDefault="006F7546" w:rsidP="00BE5A88">
            <w:pPr>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p w:rsidR="006F7546" w:rsidRPr="00313D68" w:rsidRDefault="006F7546" w:rsidP="00BE5A88">
            <w:pPr>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Ongoing</w:t>
            </w:r>
          </w:p>
        </w:tc>
      </w:tr>
      <w:tr w:rsidR="006C4EDF" w:rsidTr="006C4EDF">
        <w:tblPrEx>
          <w:jc w:val="left"/>
        </w:tblPrEx>
        <w:tc>
          <w:tcPr>
            <w:cnfStyle w:val="001000000000" w:firstRow="0" w:lastRow="0" w:firstColumn="1" w:lastColumn="0" w:oddVBand="0" w:evenVBand="0" w:oddHBand="0" w:evenHBand="0" w:firstRowFirstColumn="0" w:firstRowLastColumn="0" w:lastRowFirstColumn="0" w:lastRowLastColumn="0"/>
            <w:tcW w:w="1399" w:type="pct"/>
            <w:tcBorders>
              <w:top w:val="single" w:sz="8" w:space="0" w:color="4F81BD"/>
              <w:left w:val="single" w:sz="8" w:space="0" w:color="4F81BD"/>
              <w:bottom w:val="single" w:sz="8" w:space="0" w:color="4F81BD"/>
              <w:right w:val="single" w:sz="8" w:space="0" w:color="4F81BD"/>
            </w:tcBorders>
          </w:tcPr>
          <w:p w:rsidR="006C4EDF" w:rsidRPr="00F026A0" w:rsidRDefault="006C4EDF">
            <w:pPr>
              <w:jc w:val="left"/>
              <w:rPr>
                <w:rFonts w:ascii="Arial" w:hAnsi="Arial" w:cs="Arial"/>
                <w:b w:val="0"/>
                <w:color w:val="000000" w:themeColor="text1"/>
              </w:rPr>
            </w:pPr>
            <w:r w:rsidRPr="00F026A0">
              <w:rPr>
                <w:rFonts w:ascii="Arial" w:hAnsi="Arial" w:cs="Arial"/>
                <w:b w:val="0"/>
                <w:color w:val="000000" w:themeColor="text1"/>
              </w:rPr>
              <w:t>2.</w:t>
            </w:r>
            <w:r w:rsidR="008D0CE2">
              <w:rPr>
                <w:rFonts w:ascii="Arial" w:hAnsi="Arial" w:cs="Arial"/>
                <w:b w:val="0"/>
                <w:color w:val="000000" w:themeColor="text1"/>
              </w:rPr>
              <w:t>4</w:t>
            </w:r>
            <w:r w:rsidRPr="00F026A0">
              <w:rPr>
                <w:rFonts w:ascii="Arial" w:hAnsi="Arial" w:cs="Arial"/>
                <w:b w:val="0"/>
                <w:color w:val="000000" w:themeColor="text1"/>
              </w:rPr>
              <w:t xml:space="preserve"> Continue to work with the ACMSG and DOE prior to and after the initial ESCM awards to develop and deploy methodologies for MR and risk transparency on FAR-based </w:t>
            </w:r>
            <w:r w:rsidRPr="00F026A0">
              <w:rPr>
                <w:rFonts w:ascii="Arial" w:hAnsi="Arial" w:cs="Arial"/>
                <w:b w:val="0"/>
                <w:color w:val="000000" w:themeColor="text1"/>
              </w:rPr>
              <w:lastRenderedPageBreak/>
              <w:t xml:space="preserve">contracts that can be utilized by both contractor and DOE during IDIQ task negotiation, authorization and </w:t>
            </w:r>
            <w:proofErr w:type="spellStart"/>
            <w:r w:rsidRPr="00F026A0">
              <w:rPr>
                <w:rFonts w:ascii="Arial" w:hAnsi="Arial" w:cs="Arial"/>
                <w:b w:val="0"/>
                <w:color w:val="000000" w:themeColor="text1"/>
              </w:rPr>
              <w:t>definitization</w:t>
            </w:r>
            <w:proofErr w:type="spellEnd"/>
            <w:r w:rsidRPr="00F026A0">
              <w:rPr>
                <w:rFonts w:ascii="Arial" w:hAnsi="Arial" w:cs="Arial"/>
                <w:b w:val="0"/>
                <w:color w:val="000000" w:themeColor="text1"/>
              </w:rPr>
              <w:t>.</w:t>
            </w:r>
          </w:p>
        </w:tc>
        <w:tc>
          <w:tcPr>
            <w:tcW w:w="1896" w:type="pct"/>
            <w:tcBorders>
              <w:top w:val="single" w:sz="8" w:space="0" w:color="4F81BD"/>
              <w:left w:val="single" w:sz="8" w:space="0" w:color="4F81BD"/>
              <w:bottom w:val="single" w:sz="8" w:space="0" w:color="4F81BD"/>
              <w:right w:val="single" w:sz="8" w:space="0" w:color="4F81BD"/>
            </w:tcBorders>
            <w:hideMark/>
          </w:tcPr>
          <w:p w:rsidR="006C4EDF" w:rsidRPr="00F026A0" w:rsidRDefault="006C4EDF">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026A0">
              <w:rPr>
                <w:rFonts w:ascii="Arial" w:hAnsi="Arial" w:cs="Arial"/>
                <w:color w:val="000000" w:themeColor="text1"/>
              </w:rPr>
              <w:lastRenderedPageBreak/>
              <w:t xml:space="preserve">By developing and deploying methodologies for MR and risk transparency during task proposal, authorization and </w:t>
            </w:r>
            <w:proofErr w:type="spellStart"/>
            <w:r w:rsidRPr="00F026A0">
              <w:rPr>
                <w:rFonts w:ascii="Arial" w:hAnsi="Arial" w:cs="Arial"/>
                <w:color w:val="000000" w:themeColor="text1"/>
              </w:rPr>
              <w:t>definitization</w:t>
            </w:r>
            <w:proofErr w:type="spellEnd"/>
            <w:r w:rsidRPr="00F026A0">
              <w:rPr>
                <w:rFonts w:ascii="Arial" w:hAnsi="Arial" w:cs="Arial"/>
                <w:color w:val="000000" w:themeColor="text1"/>
              </w:rPr>
              <w:t>, these processes will be streamlined, more efficient and effective.</w:t>
            </w:r>
          </w:p>
        </w:tc>
        <w:tc>
          <w:tcPr>
            <w:tcW w:w="1705" w:type="pct"/>
            <w:tcBorders>
              <w:top w:val="single" w:sz="8" w:space="0" w:color="4F81BD"/>
              <w:left w:val="single" w:sz="8" w:space="0" w:color="4F81BD"/>
              <w:bottom w:val="single" w:sz="8" w:space="0" w:color="4F81BD"/>
              <w:right w:val="single" w:sz="8" w:space="0" w:color="4F81BD"/>
            </w:tcBorders>
          </w:tcPr>
          <w:p w:rsidR="006C4EDF" w:rsidRPr="00F026A0" w:rsidRDefault="006C4EDF">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026A0">
              <w:rPr>
                <w:rFonts w:ascii="Arial" w:hAnsi="Arial" w:cs="Arial"/>
                <w:color w:val="000000" w:themeColor="text1"/>
              </w:rPr>
              <w:t>2.</w:t>
            </w:r>
            <w:r w:rsidR="008D0CE2">
              <w:rPr>
                <w:rFonts w:ascii="Arial" w:hAnsi="Arial" w:cs="Arial"/>
                <w:color w:val="000000" w:themeColor="text1"/>
              </w:rPr>
              <w:t>4</w:t>
            </w:r>
            <w:r w:rsidRPr="00F026A0">
              <w:rPr>
                <w:rFonts w:ascii="Arial" w:hAnsi="Arial" w:cs="Arial"/>
                <w:color w:val="000000" w:themeColor="text1"/>
              </w:rPr>
              <w:t>.1 Preliminary report issued in FY2019.  Follow-on work to:</w:t>
            </w:r>
          </w:p>
          <w:p w:rsidR="006C4EDF" w:rsidRPr="00F026A0" w:rsidRDefault="006C4EDF">
            <w:pPr>
              <w:jc w:val="lef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p w:rsidR="006C4EDF" w:rsidRPr="00F026A0" w:rsidRDefault="006C4EDF" w:rsidP="006C4EDF">
            <w:pPr>
              <w:pStyle w:val="ListParagraph"/>
              <w:numPr>
                <w:ilvl w:val="0"/>
                <w:numId w:val="9"/>
              </w:numPr>
              <w:spacing w:after="0" w:line="240" w:lineRule="auto"/>
              <w:ind w:left="33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026A0">
              <w:rPr>
                <w:rFonts w:ascii="Arial" w:hAnsi="Arial" w:cs="Arial"/>
                <w:color w:val="000000" w:themeColor="text1"/>
                <w:sz w:val="20"/>
                <w:szCs w:val="20"/>
              </w:rPr>
              <w:t xml:space="preserve">Further advance this initiative within DOE-HQ by establishing relationships with DOE </w:t>
            </w:r>
            <w:r w:rsidRPr="00F026A0">
              <w:rPr>
                <w:rFonts w:ascii="Arial" w:hAnsi="Arial" w:cs="Arial"/>
                <w:color w:val="000000" w:themeColor="text1"/>
                <w:sz w:val="20"/>
                <w:szCs w:val="20"/>
              </w:rPr>
              <w:lastRenderedPageBreak/>
              <w:t>advocates /sponsors</w:t>
            </w:r>
          </w:p>
          <w:p w:rsidR="006C4EDF" w:rsidRPr="00F026A0" w:rsidRDefault="006C4EDF" w:rsidP="006C4EDF">
            <w:pPr>
              <w:pStyle w:val="ListParagraph"/>
              <w:numPr>
                <w:ilvl w:val="0"/>
                <w:numId w:val="9"/>
              </w:numPr>
              <w:spacing w:after="0" w:line="240" w:lineRule="auto"/>
              <w:ind w:left="33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026A0">
              <w:rPr>
                <w:rFonts w:ascii="Arial" w:hAnsi="Arial" w:cs="Arial"/>
                <w:color w:val="000000" w:themeColor="text1"/>
                <w:sz w:val="20"/>
                <w:szCs w:val="20"/>
              </w:rPr>
              <w:t xml:space="preserve">Maintain an awareness of this issue within DOE and EFCOG </w:t>
            </w:r>
          </w:p>
          <w:p w:rsidR="006C4EDF" w:rsidRPr="00F026A0" w:rsidRDefault="006C4EDF" w:rsidP="006C4EDF">
            <w:pPr>
              <w:pStyle w:val="ListParagraph"/>
              <w:numPr>
                <w:ilvl w:val="0"/>
                <w:numId w:val="9"/>
              </w:numPr>
              <w:spacing w:after="0" w:line="240" w:lineRule="auto"/>
              <w:ind w:left="33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026A0">
              <w:rPr>
                <w:rFonts w:ascii="Arial" w:hAnsi="Arial" w:cs="Arial"/>
                <w:color w:val="000000" w:themeColor="text1"/>
                <w:sz w:val="20"/>
                <w:szCs w:val="20"/>
              </w:rPr>
              <w:t>Develop methodologies of implementing MR and</w:t>
            </w:r>
          </w:p>
          <w:p w:rsidR="006C4EDF" w:rsidRDefault="006C4EDF">
            <w:pPr>
              <w:ind w:left="331"/>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roofErr w:type="gramStart"/>
            <w:r w:rsidRPr="00F026A0">
              <w:rPr>
                <w:rFonts w:ascii="Arial" w:hAnsi="Arial" w:cs="Arial"/>
                <w:color w:val="000000" w:themeColor="text1"/>
              </w:rPr>
              <w:t>risk</w:t>
            </w:r>
            <w:proofErr w:type="gramEnd"/>
            <w:r w:rsidRPr="00F026A0">
              <w:rPr>
                <w:rFonts w:ascii="Arial" w:hAnsi="Arial" w:cs="Arial"/>
                <w:color w:val="000000" w:themeColor="text1"/>
              </w:rPr>
              <w:t xml:space="preserve"> transparency for ESCM application</w:t>
            </w:r>
          </w:p>
          <w:p w:rsidR="00E67964" w:rsidRDefault="00E67964">
            <w:pPr>
              <w:ind w:left="331"/>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E67964" w:rsidRDefault="00E67964"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E67964">
              <w:rPr>
                <w:rFonts w:ascii="Arial" w:hAnsi="Arial" w:cs="Arial"/>
                <w:b/>
                <w:color w:val="000000" w:themeColor="text1"/>
              </w:rPr>
              <w:t>Ongoing</w:t>
            </w:r>
          </w:p>
          <w:p w:rsidR="00E67964" w:rsidRPr="00E67964" w:rsidRDefault="00E67964"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6C4EDF" w:rsidRPr="0010574D"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6C4EDF" w:rsidRPr="00E67964" w:rsidRDefault="00F026A0" w:rsidP="00F026A0">
            <w:pPr>
              <w:jc w:val="left"/>
              <w:rPr>
                <w:rFonts w:ascii="Arial" w:hAnsi="Arial" w:cs="Arial"/>
                <w:b w:val="0"/>
              </w:rPr>
            </w:pPr>
            <w:r w:rsidRPr="00F026A0">
              <w:rPr>
                <w:rFonts w:ascii="Arial" w:hAnsi="Arial" w:cs="Arial"/>
                <w:b w:val="0"/>
              </w:rPr>
              <w:lastRenderedPageBreak/>
              <w:t>2.</w:t>
            </w:r>
            <w:r w:rsidR="00E67964">
              <w:rPr>
                <w:rFonts w:ascii="Arial" w:hAnsi="Arial" w:cs="Arial"/>
                <w:b w:val="0"/>
              </w:rPr>
              <w:t>5</w:t>
            </w:r>
            <w:r w:rsidRPr="00F026A0">
              <w:rPr>
                <w:rFonts w:ascii="Arial" w:hAnsi="Arial" w:cs="Arial"/>
                <w:b w:val="0"/>
              </w:rPr>
              <w:t xml:space="preserve"> Follow through in maturing the previous EFCOG Bias Management work by developing training material in a collaborative effort with the EFCOG training Group and piloting the training material and bias reduction techniques.</w:t>
            </w:r>
          </w:p>
        </w:tc>
        <w:tc>
          <w:tcPr>
            <w:tcW w:w="1896" w:type="pct"/>
            <w:tcBorders>
              <w:left w:val="single" w:sz="8" w:space="0" w:color="4F81BD"/>
              <w:right w:val="single" w:sz="8" w:space="0" w:color="4F81BD"/>
            </w:tcBorders>
          </w:tcPr>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026A0">
              <w:rPr>
                <w:rFonts w:ascii="Arial" w:hAnsi="Arial" w:cs="Arial"/>
              </w:rPr>
              <w:t xml:space="preserve">By promoting (through training) an awareness of the kinds of bias that influence our </w:t>
            </w:r>
            <w:proofErr w:type="spellStart"/>
            <w:r w:rsidRPr="00F026A0">
              <w:rPr>
                <w:rFonts w:ascii="Arial" w:hAnsi="Arial" w:cs="Arial"/>
              </w:rPr>
              <w:t>judgement</w:t>
            </w:r>
            <w:proofErr w:type="spellEnd"/>
            <w:r w:rsidRPr="00F026A0">
              <w:rPr>
                <w:rFonts w:ascii="Arial" w:hAnsi="Arial" w:cs="Arial"/>
              </w:rPr>
              <w:t>, the following benefits will be realized:</w:t>
            </w:r>
          </w:p>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026A0">
              <w:rPr>
                <w:rFonts w:ascii="Arial" w:hAnsi="Arial" w:cs="Arial"/>
              </w:rPr>
              <w:t>•</w:t>
            </w:r>
            <w:r w:rsidRPr="00F026A0">
              <w:rPr>
                <w:rFonts w:ascii="Arial" w:hAnsi="Arial" w:cs="Arial"/>
              </w:rPr>
              <w:tab/>
              <w:t xml:space="preserve">Greater objectivity in decision-making </w:t>
            </w:r>
          </w:p>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026A0">
              <w:rPr>
                <w:rFonts w:ascii="Arial" w:hAnsi="Arial" w:cs="Arial"/>
              </w:rPr>
              <w:t>•</w:t>
            </w:r>
            <w:r w:rsidRPr="00F026A0">
              <w:rPr>
                <w:rFonts w:ascii="Arial" w:hAnsi="Arial" w:cs="Arial"/>
              </w:rPr>
              <w:tab/>
              <w:t xml:space="preserve">More accurate cost and schedule estimates, </w:t>
            </w:r>
          </w:p>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026A0">
              <w:rPr>
                <w:rFonts w:ascii="Arial" w:hAnsi="Arial" w:cs="Arial"/>
              </w:rPr>
              <w:t>•</w:t>
            </w:r>
            <w:r w:rsidRPr="00F026A0">
              <w:rPr>
                <w:rFonts w:ascii="Arial" w:hAnsi="Arial" w:cs="Arial"/>
              </w:rPr>
              <w:tab/>
              <w:t>Increased creativity in the Alternatives Analysis and Value Engineering processes</w:t>
            </w:r>
          </w:p>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highlight w:val="cyan"/>
              </w:rPr>
            </w:pPr>
            <w:r w:rsidRPr="00F026A0">
              <w:rPr>
                <w:rFonts w:ascii="Arial" w:hAnsi="Arial" w:cs="Arial"/>
              </w:rPr>
              <w:t>•</w:t>
            </w:r>
            <w:r w:rsidRPr="00F026A0">
              <w:rPr>
                <w:rFonts w:ascii="Arial" w:hAnsi="Arial" w:cs="Arial"/>
              </w:rPr>
              <w:tab/>
              <w:t>Heightened sensitivity and awareness to avoid bias in the everyday activities of Project Managers and a broad range of multi-disciplined project support and execution staff will increase efficiency</w:t>
            </w:r>
          </w:p>
          <w:p w:rsidR="00F026A0" w:rsidRPr="00F026A0" w:rsidRDefault="00F026A0" w:rsidP="00F026A0">
            <w:pPr>
              <w:cnfStyle w:val="000000100000" w:firstRow="0" w:lastRow="0" w:firstColumn="0" w:lastColumn="0" w:oddVBand="0" w:evenVBand="0" w:oddHBand="1" w:evenHBand="0" w:firstRowFirstColumn="0" w:firstRowLastColumn="0" w:lastRowFirstColumn="0" w:lastRowLastColumn="0"/>
              <w:rPr>
                <w:rFonts w:ascii="Arial" w:hAnsi="Arial" w:cs="Arial"/>
                <w:highlight w:val="cyan"/>
              </w:rPr>
            </w:pPr>
          </w:p>
          <w:p w:rsidR="006C4EDF" w:rsidRPr="00F026A0" w:rsidRDefault="006C4EDF" w:rsidP="00F026A0">
            <w:pPr>
              <w:cnfStyle w:val="000000100000" w:firstRow="0" w:lastRow="0" w:firstColumn="0" w:lastColumn="0" w:oddVBand="0" w:evenVBand="0" w:oddHBand="1" w:evenHBand="0" w:firstRowFirstColumn="0" w:firstRowLastColumn="0" w:lastRowFirstColumn="0" w:lastRowLastColumn="0"/>
              <w:rPr>
                <w:rFonts w:ascii="Arial" w:hAnsi="Arial" w:cs="Arial"/>
                <w:highlight w:val="cyan"/>
              </w:rPr>
            </w:pPr>
          </w:p>
        </w:tc>
        <w:tc>
          <w:tcPr>
            <w:tcW w:w="1705" w:type="pct"/>
            <w:tcBorders>
              <w:left w:val="single" w:sz="8" w:space="0" w:color="4F81BD"/>
            </w:tcBorders>
          </w:tcPr>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026A0">
              <w:rPr>
                <w:rFonts w:ascii="Arial" w:hAnsi="Arial" w:cs="Arial"/>
              </w:rPr>
              <w:t>2.</w:t>
            </w:r>
            <w:r w:rsidR="00E67964">
              <w:rPr>
                <w:rFonts w:ascii="Arial" w:hAnsi="Arial" w:cs="Arial"/>
              </w:rPr>
              <w:t>5</w:t>
            </w:r>
            <w:r w:rsidRPr="00F026A0">
              <w:rPr>
                <w:rFonts w:ascii="Arial" w:hAnsi="Arial" w:cs="Arial"/>
              </w:rPr>
              <w:t xml:space="preserve">.1 Issue a Bias Awareness Training Package which can be used throughout the complex as a “primer” to the types of bias that make our </w:t>
            </w:r>
            <w:proofErr w:type="spellStart"/>
            <w:r w:rsidRPr="00F026A0">
              <w:rPr>
                <w:rFonts w:ascii="Arial" w:hAnsi="Arial" w:cs="Arial"/>
              </w:rPr>
              <w:t>judgement</w:t>
            </w:r>
            <w:proofErr w:type="spellEnd"/>
            <w:r w:rsidRPr="00F026A0">
              <w:rPr>
                <w:rFonts w:ascii="Arial" w:hAnsi="Arial" w:cs="Arial"/>
              </w:rPr>
              <w:t xml:space="preserve"> less effective.</w:t>
            </w:r>
          </w:p>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026A0">
              <w:rPr>
                <w:rFonts w:ascii="Arial" w:hAnsi="Arial" w:cs="Arial"/>
              </w:rPr>
              <w:t>2.</w:t>
            </w:r>
            <w:r w:rsidR="00E67964">
              <w:rPr>
                <w:rFonts w:ascii="Arial" w:hAnsi="Arial" w:cs="Arial"/>
              </w:rPr>
              <w:t>5</w:t>
            </w:r>
            <w:r w:rsidRPr="00F026A0">
              <w:rPr>
                <w:rFonts w:ascii="Arial" w:hAnsi="Arial" w:cs="Arial"/>
              </w:rPr>
              <w:t xml:space="preserve">.2 Issue a guide to specific bias reduction techniques that can be applied to improve </w:t>
            </w:r>
            <w:proofErr w:type="spellStart"/>
            <w:r w:rsidRPr="00F026A0">
              <w:rPr>
                <w:rFonts w:ascii="Arial" w:hAnsi="Arial" w:cs="Arial"/>
              </w:rPr>
              <w:t>judgement</w:t>
            </w:r>
            <w:proofErr w:type="spellEnd"/>
            <w:r w:rsidRPr="00F026A0">
              <w:rPr>
                <w:rFonts w:ascii="Arial" w:hAnsi="Arial" w:cs="Arial"/>
              </w:rPr>
              <w:t xml:space="preserve"> effectiveness through Program of process enhancements.</w:t>
            </w:r>
          </w:p>
          <w:p w:rsidR="00F026A0" w:rsidRPr="00F026A0" w:rsidRDefault="00F026A0" w:rsidP="00F026A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6C4EDF" w:rsidRDefault="00F026A0" w:rsidP="00E67964">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026A0">
              <w:rPr>
                <w:rFonts w:ascii="Arial" w:hAnsi="Arial" w:cs="Arial"/>
              </w:rPr>
              <w:t>2.</w:t>
            </w:r>
            <w:r w:rsidR="00E67964">
              <w:rPr>
                <w:rFonts w:ascii="Arial" w:hAnsi="Arial" w:cs="Arial"/>
              </w:rPr>
              <w:t>5</w:t>
            </w:r>
            <w:r w:rsidRPr="00F026A0">
              <w:rPr>
                <w:rFonts w:ascii="Arial" w:hAnsi="Arial" w:cs="Arial"/>
              </w:rPr>
              <w:t>.3 Pilot bias reduction techniques at selected sites.</w:t>
            </w:r>
          </w:p>
          <w:p w:rsidR="00E67964" w:rsidRDefault="00E67964" w:rsidP="00E67964">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E67964" w:rsidRPr="00E67964" w:rsidRDefault="00E67964" w:rsidP="00E67964">
            <w:pPr>
              <w:jc w:val="left"/>
              <w:cnfStyle w:val="000000100000" w:firstRow="0" w:lastRow="0" w:firstColumn="0" w:lastColumn="0" w:oddVBand="0" w:evenVBand="0" w:oddHBand="1" w:evenHBand="0" w:firstRowFirstColumn="0" w:firstRowLastColumn="0" w:lastRowFirstColumn="0" w:lastRowLastColumn="0"/>
              <w:rPr>
                <w:rFonts w:ascii="Arial" w:hAnsi="Arial" w:cs="Arial"/>
                <w:b/>
                <w:highlight w:val="cyan"/>
              </w:rPr>
            </w:pPr>
            <w:r w:rsidRPr="00E67964">
              <w:rPr>
                <w:rFonts w:ascii="Arial" w:hAnsi="Arial" w:cs="Arial"/>
                <w:b/>
              </w:rPr>
              <w:t>Ongoing</w:t>
            </w:r>
          </w:p>
        </w:tc>
      </w:tr>
      <w:tr w:rsidR="00A92014" w:rsidRPr="0010574D"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A92014" w:rsidRPr="008C5E02" w:rsidRDefault="00357014" w:rsidP="00357014">
            <w:pPr>
              <w:jc w:val="left"/>
              <w:rPr>
                <w:rFonts w:ascii="Arial" w:hAnsi="Arial" w:cs="Arial"/>
                <w:b w:val="0"/>
              </w:rPr>
            </w:pPr>
            <w:r w:rsidRPr="00357014">
              <w:rPr>
                <w:rFonts w:ascii="Arial" w:hAnsi="Arial" w:cs="Arial"/>
                <w:b w:val="0"/>
              </w:rPr>
              <w:t>2.</w:t>
            </w:r>
            <w:r w:rsidR="00E67964">
              <w:rPr>
                <w:rFonts w:ascii="Arial" w:hAnsi="Arial" w:cs="Arial"/>
                <w:b w:val="0"/>
              </w:rPr>
              <w:t>6</w:t>
            </w:r>
            <w:r w:rsidRPr="00357014">
              <w:rPr>
                <w:rFonts w:ascii="Arial" w:hAnsi="Arial" w:cs="Arial"/>
                <w:b w:val="0"/>
              </w:rPr>
              <w:t xml:space="preserve"> Review and document the different methodologies used to utilize risk triggers in schedules and the pros and con</w:t>
            </w:r>
            <w:r w:rsidR="008C5E02">
              <w:rPr>
                <w:rFonts w:ascii="Arial" w:hAnsi="Arial" w:cs="Arial"/>
                <w:b w:val="0"/>
              </w:rPr>
              <w:t>s associated with each method.</w:t>
            </w:r>
          </w:p>
        </w:tc>
        <w:tc>
          <w:tcPr>
            <w:tcW w:w="1896" w:type="pct"/>
            <w:tcBorders>
              <w:left w:val="single" w:sz="8" w:space="0" w:color="4F81BD"/>
              <w:right w:val="single" w:sz="8" w:space="0" w:color="4F81BD"/>
            </w:tcBorders>
          </w:tcPr>
          <w:p w:rsidR="00A92014" w:rsidRPr="00357014" w:rsidRDefault="00357014" w:rsidP="00384E3C">
            <w:pPr>
              <w:jc w:val="left"/>
              <w:cnfStyle w:val="000000000000" w:firstRow="0" w:lastRow="0" w:firstColumn="0" w:lastColumn="0" w:oddVBand="0" w:evenVBand="0" w:oddHBand="0" w:evenHBand="0" w:firstRowFirstColumn="0" w:firstRowLastColumn="0" w:lastRowFirstColumn="0" w:lastRowLastColumn="0"/>
              <w:rPr>
                <w:rFonts w:ascii="Arial" w:hAnsi="Arial" w:cs="Arial"/>
                <w:highlight w:val="cyan"/>
              </w:rPr>
            </w:pPr>
            <w:r w:rsidRPr="00357014">
              <w:rPr>
                <w:rFonts w:ascii="Arial" w:hAnsi="Arial" w:cs="Arial"/>
              </w:rPr>
              <w:t>Not all Contractors utilize risk triggers within schedules, but they are becoming increasingly requested and have proven to be beneficial in managing risks and associated handling strategies.  By reviewing and documenting the pros and cons associated with the differing methods of utilizing risk triggers, contractors may select the methodology best suited to their application and be alerted to any pitfalls (cons) that may later have an adverse impact.</w:t>
            </w:r>
          </w:p>
        </w:tc>
        <w:tc>
          <w:tcPr>
            <w:tcW w:w="1705" w:type="pct"/>
            <w:tcBorders>
              <w:left w:val="single" w:sz="8" w:space="0" w:color="4F81BD"/>
            </w:tcBorders>
          </w:tcPr>
          <w:p w:rsidR="00A92014" w:rsidRDefault="00357014"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57014">
              <w:rPr>
                <w:rFonts w:ascii="Arial" w:hAnsi="Arial" w:cs="Arial"/>
              </w:rPr>
              <w:t>2.</w:t>
            </w:r>
            <w:r w:rsidR="00E67964">
              <w:rPr>
                <w:rFonts w:ascii="Arial" w:hAnsi="Arial" w:cs="Arial"/>
              </w:rPr>
              <w:t>6</w:t>
            </w:r>
            <w:r w:rsidRPr="00357014">
              <w:rPr>
                <w:rFonts w:ascii="Arial" w:hAnsi="Arial" w:cs="Arial"/>
              </w:rPr>
              <w:t>.1 Issue a white paper documenting the different methodologies used to utilize risk triggers in schedules and the pros and cons associated with each method.</w:t>
            </w:r>
          </w:p>
          <w:p w:rsidR="005F671A" w:rsidRDefault="005F671A"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5F671A" w:rsidRDefault="005F671A"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5F671A" w:rsidRDefault="005F671A"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5F671A" w:rsidRDefault="005F671A"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5F671A" w:rsidRDefault="005F671A"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8C5E02" w:rsidRDefault="008C5E02"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p w:rsidR="008C5E02" w:rsidRDefault="008C5E02"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p w:rsidR="005F671A" w:rsidRPr="005F671A" w:rsidRDefault="005F671A" w:rsidP="00E67964">
            <w:pPr>
              <w:jc w:val="left"/>
              <w:cnfStyle w:val="000000000000" w:firstRow="0" w:lastRow="0" w:firstColumn="0" w:lastColumn="0" w:oddVBand="0" w:evenVBand="0" w:oddHBand="0" w:evenHBand="0" w:firstRowFirstColumn="0" w:firstRowLastColumn="0" w:lastRowFirstColumn="0" w:lastRowLastColumn="0"/>
              <w:rPr>
                <w:rFonts w:ascii="Arial" w:hAnsi="Arial" w:cs="Arial"/>
                <w:b/>
                <w:highlight w:val="cyan"/>
              </w:rPr>
            </w:pPr>
            <w:r w:rsidRPr="005F671A">
              <w:rPr>
                <w:rFonts w:ascii="Arial" w:hAnsi="Arial" w:cs="Arial"/>
                <w:b/>
              </w:rPr>
              <w:t>New/Proposed</w:t>
            </w:r>
          </w:p>
        </w:tc>
      </w:tr>
      <w:tr w:rsidR="00A92014" w:rsidRPr="0010574D"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A92014" w:rsidRPr="005F671A" w:rsidRDefault="008D0CE2" w:rsidP="008D0CE2">
            <w:pPr>
              <w:jc w:val="left"/>
              <w:rPr>
                <w:rFonts w:ascii="Arial" w:hAnsi="Arial" w:cs="Arial"/>
                <w:b w:val="0"/>
              </w:rPr>
            </w:pPr>
            <w:r w:rsidRPr="008D0CE2">
              <w:rPr>
                <w:rFonts w:ascii="Arial" w:hAnsi="Arial" w:cs="Arial"/>
                <w:b w:val="0"/>
              </w:rPr>
              <w:t>2.</w:t>
            </w:r>
            <w:r w:rsidR="005F671A">
              <w:rPr>
                <w:rFonts w:ascii="Arial" w:hAnsi="Arial" w:cs="Arial"/>
                <w:b w:val="0"/>
              </w:rPr>
              <w:t>7</w:t>
            </w:r>
            <w:r w:rsidRPr="008D0CE2">
              <w:rPr>
                <w:rFonts w:ascii="Arial" w:hAnsi="Arial" w:cs="Arial"/>
                <w:b w:val="0"/>
              </w:rPr>
              <w:t xml:space="preserve"> Develop best practice guidance on evaluating the projected effectiveness of a </w:t>
            </w:r>
            <w:r w:rsidRPr="008D0CE2">
              <w:rPr>
                <w:rFonts w:ascii="Arial" w:hAnsi="Arial" w:cs="Arial"/>
                <w:b w:val="0"/>
              </w:rPr>
              <w:lastRenderedPageBreak/>
              <w:t>risk/opportunity handling strategy and the methodology to guide project team through the decision process to</w:t>
            </w:r>
            <w:r w:rsidR="008C5E02">
              <w:rPr>
                <w:rFonts w:ascii="Arial" w:hAnsi="Arial" w:cs="Arial"/>
                <w:b w:val="0"/>
              </w:rPr>
              <w:t xml:space="preserve"> implement or not to implement.</w:t>
            </w:r>
          </w:p>
        </w:tc>
        <w:tc>
          <w:tcPr>
            <w:tcW w:w="1896" w:type="pct"/>
            <w:tcBorders>
              <w:left w:val="single" w:sz="8" w:space="0" w:color="4F81BD"/>
              <w:right w:val="single" w:sz="8" w:space="0" w:color="4F81BD"/>
            </w:tcBorders>
          </w:tcPr>
          <w:p w:rsidR="00A92014" w:rsidRPr="008D0CE2" w:rsidRDefault="008D0CE2" w:rsidP="00384E3C">
            <w:pPr>
              <w:jc w:val="left"/>
              <w:cnfStyle w:val="000000100000" w:firstRow="0" w:lastRow="0" w:firstColumn="0" w:lastColumn="0" w:oddVBand="0" w:evenVBand="0" w:oddHBand="1" w:evenHBand="0" w:firstRowFirstColumn="0" w:firstRowLastColumn="0" w:lastRowFirstColumn="0" w:lastRowLastColumn="0"/>
              <w:rPr>
                <w:rFonts w:ascii="Arial" w:hAnsi="Arial" w:cs="Arial"/>
                <w:highlight w:val="cyan"/>
              </w:rPr>
            </w:pPr>
            <w:r w:rsidRPr="008D0CE2">
              <w:rPr>
                <w:rFonts w:ascii="Arial" w:hAnsi="Arial" w:cs="Arial"/>
              </w:rPr>
              <w:lastRenderedPageBreak/>
              <w:t xml:space="preserve">No specific guidance is provided as to how a risk handling strategy(s) effectiveness can be estimated and then how to </w:t>
            </w:r>
            <w:r w:rsidRPr="008D0CE2">
              <w:rPr>
                <w:rFonts w:ascii="Arial" w:hAnsi="Arial" w:cs="Arial"/>
              </w:rPr>
              <w:lastRenderedPageBreak/>
              <w:t>evaluate the return on investment of expending resources on mitigation.  By developing guidance, unnecessary costs may be avoided and also handling strategies may be more crafted that are proportional and reasonable to handle the identified risk.</w:t>
            </w:r>
          </w:p>
        </w:tc>
        <w:tc>
          <w:tcPr>
            <w:tcW w:w="1705" w:type="pct"/>
            <w:tcBorders>
              <w:left w:val="single" w:sz="8" w:space="0" w:color="4F81BD"/>
            </w:tcBorders>
          </w:tcPr>
          <w:p w:rsidR="00A92014" w:rsidRDefault="008D0CE2" w:rsidP="005F671A">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8D0CE2">
              <w:rPr>
                <w:rFonts w:ascii="Arial" w:hAnsi="Arial" w:cs="Arial"/>
              </w:rPr>
              <w:lastRenderedPageBreak/>
              <w:t>2.</w:t>
            </w:r>
            <w:r w:rsidR="005F671A">
              <w:rPr>
                <w:rFonts w:ascii="Arial" w:hAnsi="Arial" w:cs="Arial"/>
              </w:rPr>
              <w:t>7</w:t>
            </w:r>
            <w:r w:rsidRPr="008D0CE2">
              <w:rPr>
                <w:rFonts w:ascii="Arial" w:hAnsi="Arial" w:cs="Arial"/>
              </w:rPr>
              <w:t xml:space="preserve">.1 Issue a whitepaper/ potentially a Best Practice on evaluating the projected effectiveness of a </w:t>
            </w:r>
            <w:r w:rsidRPr="008D0CE2">
              <w:rPr>
                <w:rFonts w:ascii="Arial" w:hAnsi="Arial" w:cs="Arial"/>
              </w:rPr>
              <w:lastRenderedPageBreak/>
              <w:t>risk/opportunity handling strategy and the methodology to guide project team through the decision process to implement or not to implement.</w:t>
            </w:r>
          </w:p>
          <w:p w:rsidR="005F671A" w:rsidRDefault="005F671A" w:rsidP="005F671A">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5F671A" w:rsidRDefault="005F671A" w:rsidP="005F671A">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5F671A" w:rsidRDefault="005F671A" w:rsidP="005F671A">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5F671A" w:rsidRDefault="005F671A" w:rsidP="005F671A">
            <w:pPr>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5F671A">
              <w:rPr>
                <w:rFonts w:ascii="Arial" w:hAnsi="Arial" w:cs="Arial"/>
                <w:b/>
              </w:rPr>
              <w:t>New/Proposed</w:t>
            </w:r>
          </w:p>
          <w:p w:rsidR="00602495" w:rsidRPr="005F671A" w:rsidRDefault="00602495" w:rsidP="005F671A">
            <w:pPr>
              <w:jc w:val="left"/>
              <w:cnfStyle w:val="000000100000" w:firstRow="0" w:lastRow="0" w:firstColumn="0" w:lastColumn="0" w:oddVBand="0" w:evenVBand="0" w:oddHBand="1" w:evenHBand="0" w:firstRowFirstColumn="0" w:firstRowLastColumn="0" w:lastRowFirstColumn="0" w:lastRowLastColumn="0"/>
              <w:rPr>
                <w:rFonts w:ascii="Arial" w:hAnsi="Arial" w:cs="Arial"/>
                <w:b/>
                <w:highlight w:val="cyan"/>
              </w:rPr>
            </w:pPr>
          </w:p>
        </w:tc>
      </w:tr>
      <w:tr w:rsidR="00022B77" w:rsidRPr="0010574D" w:rsidTr="0089112C">
        <w:trPr>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rsidR="00022B77" w:rsidRPr="00D56796" w:rsidRDefault="0067383C" w:rsidP="0067383C">
            <w:pPr>
              <w:jc w:val="center"/>
              <w:rPr>
                <w:rFonts w:ascii="Arial" w:hAnsi="Arial" w:cs="Arial"/>
              </w:rPr>
            </w:pPr>
            <w:r>
              <w:rPr>
                <w:rFonts w:ascii="Arial" w:hAnsi="Arial" w:cs="Arial"/>
              </w:rPr>
              <w:lastRenderedPageBreak/>
              <w:t>3</w:t>
            </w:r>
            <w:r w:rsidR="005D2382" w:rsidRPr="00D56796">
              <w:rPr>
                <w:rFonts w:ascii="Arial" w:hAnsi="Arial" w:cs="Arial"/>
              </w:rPr>
              <w:t xml:space="preserve">.0 </w:t>
            </w:r>
            <w:r w:rsidR="00C90303" w:rsidRPr="00D56796">
              <w:rPr>
                <w:rFonts w:ascii="Arial" w:hAnsi="Arial" w:cs="Arial"/>
              </w:rPr>
              <w:t>Acquisition</w:t>
            </w:r>
          </w:p>
        </w:tc>
      </w:tr>
      <w:tr w:rsidR="00C90303" w:rsidRPr="002A5727"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C90303" w:rsidRPr="00D56796" w:rsidRDefault="00103766" w:rsidP="00C90303">
            <w:pPr>
              <w:jc w:val="left"/>
              <w:rPr>
                <w:rFonts w:ascii="Arial" w:hAnsi="Arial" w:cs="Arial"/>
                <w:b w:val="0"/>
              </w:rPr>
            </w:pPr>
            <w:r>
              <w:rPr>
                <w:rFonts w:ascii="Arial" w:hAnsi="Arial" w:cs="Arial"/>
                <w:b w:val="0"/>
              </w:rPr>
              <w:t>3</w:t>
            </w:r>
            <w:r w:rsidR="003A5CAC" w:rsidRPr="00D56796">
              <w:rPr>
                <w:rFonts w:ascii="Arial" w:hAnsi="Arial" w:cs="Arial"/>
                <w:b w:val="0"/>
              </w:rPr>
              <w:t>.</w:t>
            </w:r>
            <w:r w:rsidR="00425650">
              <w:rPr>
                <w:rFonts w:ascii="Arial" w:hAnsi="Arial" w:cs="Arial"/>
                <w:b w:val="0"/>
              </w:rPr>
              <w:t>1</w:t>
            </w:r>
            <w:r w:rsidR="003A5CAC" w:rsidRPr="00D56796">
              <w:rPr>
                <w:rFonts w:ascii="Arial" w:hAnsi="Arial" w:cs="Arial"/>
                <w:b w:val="0"/>
              </w:rPr>
              <w:t xml:space="preserve"> </w:t>
            </w:r>
            <w:r w:rsidR="00C90303" w:rsidRPr="00D56796">
              <w:rPr>
                <w:rFonts w:ascii="Arial" w:hAnsi="Arial" w:cs="Arial"/>
                <w:b w:val="0"/>
              </w:rPr>
              <w:t>Identify Best Practices and Lessons Learned in managing the project or contract Code of Record.</w:t>
            </w:r>
          </w:p>
          <w:p w:rsidR="003A5CAC" w:rsidRPr="00D56796" w:rsidRDefault="003A5CAC" w:rsidP="00C90303">
            <w:pPr>
              <w:jc w:val="left"/>
              <w:rPr>
                <w:rFonts w:ascii="Arial" w:hAnsi="Arial" w:cs="Arial"/>
                <w:b w:val="0"/>
              </w:rPr>
            </w:pPr>
          </w:p>
          <w:p w:rsidR="003A5CAC" w:rsidRPr="00D56796" w:rsidRDefault="003A5CAC" w:rsidP="00C90303">
            <w:pPr>
              <w:jc w:val="left"/>
              <w:rPr>
                <w:rFonts w:ascii="Arial" w:hAnsi="Arial" w:cs="Arial"/>
              </w:rPr>
            </w:pPr>
          </w:p>
        </w:tc>
        <w:tc>
          <w:tcPr>
            <w:tcW w:w="1896" w:type="pct"/>
            <w:tcBorders>
              <w:left w:val="single" w:sz="8" w:space="0" w:color="4F81BD"/>
              <w:right w:val="single" w:sz="8" w:space="0" w:color="4F81BD"/>
            </w:tcBorders>
          </w:tcPr>
          <w:p w:rsidR="00C90303" w:rsidRPr="00491C25" w:rsidRDefault="00C90303" w:rsidP="00C90303">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90303">
              <w:rPr>
                <w:rFonts w:ascii="Arial" w:hAnsi="Arial" w:cs="Arial"/>
              </w:rPr>
              <w:t>The project Code of Record can be managed in a variety of ways, but limiting changes to the Code of Record will generally significantly improve cost and schedule outcomes for projects and reduce administrative burdens. Methods to limit Code of Record changes can range from outright exclusion of discretionary changes after specified Critical Decision gates to tailored implementation of new requirements. By identifying multiple best practices suitable to different project environments and conditions, this will provide potential roadmaps to how current Departmental Guidance can be achieved.</w:t>
            </w:r>
          </w:p>
        </w:tc>
        <w:tc>
          <w:tcPr>
            <w:tcW w:w="1705" w:type="pct"/>
            <w:tcBorders>
              <w:left w:val="single" w:sz="8" w:space="0" w:color="4F81BD"/>
            </w:tcBorders>
          </w:tcPr>
          <w:p w:rsidR="00C90303" w:rsidRDefault="00103766"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r w:rsidR="00425650">
              <w:rPr>
                <w:rFonts w:ascii="Arial" w:hAnsi="Arial" w:cs="Arial"/>
              </w:rPr>
              <w:t>.1.1</w:t>
            </w:r>
            <w:r w:rsidR="003A5CAC">
              <w:rPr>
                <w:rFonts w:ascii="Arial" w:hAnsi="Arial" w:cs="Arial"/>
              </w:rPr>
              <w:t xml:space="preserve"> </w:t>
            </w:r>
            <w:r w:rsidR="003A5CAC" w:rsidRPr="003A5CAC">
              <w:rPr>
                <w:rFonts w:ascii="Arial" w:hAnsi="Arial" w:cs="Arial"/>
              </w:rPr>
              <w:t>Develop a flowchart on how requirement or code changes can be evaluated pre and post-award to minimize project churn and additional cost, with special consideration for assessing changes in requirements that provide minimal benefit or have limited applicability to the project they are applied to.</w:t>
            </w:r>
          </w:p>
          <w:p w:rsidR="00693660" w:rsidRDefault="00693660"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p w:rsidR="00693660" w:rsidRDefault="00693660"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p w:rsidR="00693660" w:rsidRDefault="00693660"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p w:rsidR="00693660" w:rsidRDefault="00693660"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p w:rsidR="00A36F49" w:rsidRPr="00371085" w:rsidRDefault="00A36F49"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425650">
              <w:rPr>
                <w:rFonts w:ascii="Arial" w:hAnsi="Arial" w:cs="Arial"/>
                <w:b/>
              </w:rPr>
              <w:t>In-Process</w:t>
            </w:r>
          </w:p>
        </w:tc>
      </w:tr>
      <w:tr w:rsidR="004B3D73" w:rsidRPr="009E114A"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212B0B" w:rsidRPr="009E114A" w:rsidRDefault="00103766" w:rsidP="00103766">
            <w:pPr>
              <w:jc w:val="left"/>
              <w:rPr>
                <w:rFonts w:ascii="Arial" w:hAnsi="Arial" w:cs="Arial"/>
                <w:b w:val="0"/>
              </w:rPr>
            </w:pPr>
            <w:r w:rsidRPr="009E114A">
              <w:rPr>
                <w:rFonts w:ascii="Arial" w:hAnsi="Arial" w:cs="Arial"/>
                <w:b w:val="0"/>
              </w:rPr>
              <w:t>3</w:t>
            </w:r>
            <w:r w:rsidR="00A60704" w:rsidRPr="009E114A">
              <w:rPr>
                <w:rFonts w:ascii="Arial" w:hAnsi="Arial" w:cs="Arial"/>
                <w:b w:val="0"/>
              </w:rPr>
              <w:t>.</w:t>
            </w:r>
            <w:r w:rsidR="00584489" w:rsidRPr="009E114A">
              <w:rPr>
                <w:rFonts w:ascii="Arial" w:hAnsi="Arial" w:cs="Arial"/>
                <w:b w:val="0"/>
              </w:rPr>
              <w:t>2</w:t>
            </w:r>
            <w:r w:rsidR="00A60704" w:rsidRPr="009E114A">
              <w:rPr>
                <w:rFonts w:ascii="Arial" w:hAnsi="Arial" w:cs="Arial"/>
                <w:b w:val="0"/>
              </w:rPr>
              <w:t xml:space="preserve"> </w:t>
            </w:r>
            <w:r w:rsidR="004B3D73" w:rsidRPr="009E114A">
              <w:rPr>
                <w:rFonts w:ascii="Arial" w:hAnsi="Arial" w:cs="Arial"/>
                <w:b w:val="0"/>
              </w:rPr>
              <w:t xml:space="preserve">Identify best practices in partnering processes that support efficient </w:t>
            </w:r>
            <w:r w:rsidR="00E42B8C" w:rsidRPr="009E114A">
              <w:rPr>
                <w:rFonts w:ascii="Arial" w:hAnsi="Arial" w:cs="Arial"/>
                <w:b w:val="0"/>
              </w:rPr>
              <w:t>contract administration.</w:t>
            </w:r>
          </w:p>
        </w:tc>
        <w:tc>
          <w:tcPr>
            <w:tcW w:w="1896" w:type="pct"/>
            <w:tcBorders>
              <w:left w:val="single" w:sz="8" w:space="0" w:color="4F81BD"/>
              <w:right w:val="single" w:sz="8" w:space="0" w:color="4F81BD"/>
            </w:tcBorders>
          </w:tcPr>
          <w:p w:rsidR="004B3D73" w:rsidRPr="009E114A" w:rsidRDefault="0006789A" w:rsidP="00E42B8C">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114A">
              <w:rPr>
                <w:rFonts w:ascii="Arial" w:hAnsi="Arial" w:cs="Arial"/>
              </w:rPr>
              <w:t>S</w:t>
            </w:r>
            <w:r w:rsidR="00E609AB" w:rsidRPr="009E114A">
              <w:rPr>
                <w:rFonts w:ascii="Arial" w:hAnsi="Arial" w:cs="Arial"/>
              </w:rPr>
              <w:t>upport</w:t>
            </w:r>
            <w:r w:rsidRPr="009E114A">
              <w:rPr>
                <w:rFonts w:ascii="Arial" w:hAnsi="Arial" w:cs="Arial"/>
              </w:rPr>
              <w:t>s</w:t>
            </w:r>
            <w:r w:rsidR="00E609AB" w:rsidRPr="009E114A">
              <w:rPr>
                <w:rFonts w:ascii="Arial" w:hAnsi="Arial" w:cs="Arial"/>
              </w:rPr>
              <w:t xml:space="preserve"> efficient contract administration</w:t>
            </w:r>
            <w:r w:rsidR="00E42B8C" w:rsidRPr="009E114A">
              <w:rPr>
                <w:rFonts w:ascii="Arial" w:hAnsi="Arial" w:cs="Arial"/>
              </w:rPr>
              <w:t xml:space="preserve">; may provide significant benefits to sites or projects rolling out new contracting models (such as End State IDIQ contracting for DOE-EM). </w:t>
            </w:r>
          </w:p>
        </w:tc>
        <w:tc>
          <w:tcPr>
            <w:tcW w:w="1705" w:type="pct"/>
            <w:tcBorders>
              <w:left w:val="single" w:sz="8" w:space="0" w:color="4F81BD"/>
            </w:tcBorders>
          </w:tcPr>
          <w:p w:rsidR="00CD1141" w:rsidRPr="009E114A" w:rsidRDefault="00103766" w:rsidP="00092F51">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114A">
              <w:rPr>
                <w:rFonts w:ascii="Arial" w:hAnsi="Arial" w:cs="Arial"/>
              </w:rPr>
              <w:t>3</w:t>
            </w:r>
            <w:r w:rsidR="00584489" w:rsidRPr="009E114A">
              <w:rPr>
                <w:rFonts w:ascii="Arial" w:hAnsi="Arial" w:cs="Arial"/>
              </w:rPr>
              <w:t xml:space="preserve">.2.1 </w:t>
            </w:r>
            <w:r w:rsidR="0006789A" w:rsidRPr="009E114A">
              <w:rPr>
                <w:rFonts w:ascii="Arial" w:hAnsi="Arial" w:cs="Arial"/>
              </w:rPr>
              <w:t>Best Practice to be</w:t>
            </w:r>
            <w:r w:rsidR="00092F51" w:rsidRPr="009E114A">
              <w:rPr>
                <w:rFonts w:ascii="Arial" w:hAnsi="Arial" w:cs="Arial"/>
              </w:rPr>
              <w:t xml:space="preserve"> published on the EFCOG Webpage and directly distributed to the PDWG members.</w:t>
            </w:r>
          </w:p>
          <w:p w:rsidR="00CD1141" w:rsidRPr="009E114A" w:rsidRDefault="00CD1141" w:rsidP="00092F51">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114A">
              <w:rPr>
                <w:rFonts w:ascii="Arial" w:hAnsi="Arial" w:cs="Arial"/>
                <w:b/>
              </w:rPr>
              <w:t>New/Proposed</w:t>
            </w:r>
          </w:p>
        </w:tc>
      </w:tr>
      <w:tr w:rsidR="004B3D73" w:rsidRPr="009E114A"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4B3D73" w:rsidRPr="009E114A" w:rsidRDefault="00103766" w:rsidP="00204CC6">
            <w:pPr>
              <w:jc w:val="left"/>
              <w:rPr>
                <w:rFonts w:ascii="Arial" w:hAnsi="Arial" w:cs="Arial"/>
                <w:b w:val="0"/>
              </w:rPr>
            </w:pPr>
            <w:r w:rsidRPr="009E114A">
              <w:rPr>
                <w:rFonts w:ascii="Arial" w:hAnsi="Arial" w:cs="Arial"/>
                <w:b w:val="0"/>
              </w:rPr>
              <w:t>3</w:t>
            </w:r>
            <w:r w:rsidR="00584489" w:rsidRPr="009E114A">
              <w:rPr>
                <w:rFonts w:ascii="Arial" w:hAnsi="Arial" w:cs="Arial"/>
                <w:b w:val="0"/>
              </w:rPr>
              <w:t>.3</w:t>
            </w:r>
            <w:r w:rsidR="00204CC6" w:rsidRPr="009E114A">
              <w:rPr>
                <w:rFonts w:ascii="Arial" w:hAnsi="Arial" w:cs="Arial"/>
                <w:b w:val="0"/>
              </w:rPr>
              <w:t xml:space="preserve"> Conduct an industry information share on subcontract oversight and compliance and areas of high perceived risk</w:t>
            </w:r>
            <w:proofErr w:type="gramStart"/>
            <w:r w:rsidR="00204CC6" w:rsidRPr="009E114A">
              <w:rPr>
                <w:rFonts w:ascii="Arial" w:hAnsi="Arial" w:cs="Arial"/>
                <w:b w:val="0"/>
              </w:rPr>
              <w:t>;</w:t>
            </w:r>
            <w:proofErr w:type="gramEnd"/>
            <w:r w:rsidR="00204CC6" w:rsidRPr="009E114A">
              <w:rPr>
                <w:rFonts w:ascii="Arial" w:hAnsi="Arial" w:cs="Arial"/>
                <w:b w:val="0"/>
              </w:rPr>
              <w:t xml:space="preserve"> share strategies for mitigating or eliminating risk.</w:t>
            </w:r>
          </w:p>
          <w:p w:rsidR="00212B0B" w:rsidRPr="009E114A" w:rsidRDefault="00212B0B" w:rsidP="00204CC6">
            <w:pPr>
              <w:jc w:val="left"/>
              <w:rPr>
                <w:rFonts w:ascii="Arial" w:hAnsi="Arial" w:cs="Arial"/>
                <w:b w:val="0"/>
              </w:rPr>
            </w:pPr>
          </w:p>
        </w:tc>
        <w:tc>
          <w:tcPr>
            <w:tcW w:w="1896" w:type="pct"/>
            <w:tcBorders>
              <w:left w:val="single" w:sz="8" w:space="0" w:color="4F81BD"/>
              <w:right w:val="single" w:sz="8" w:space="0" w:color="4F81BD"/>
            </w:tcBorders>
          </w:tcPr>
          <w:p w:rsidR="004B3D73" w:rsidRPr="009E114A" w:rsidRDefault="006D52C0" w:rsidP="00E42B8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114A">
              <w:rPr>
                <w:rFonts w:ascii="Arial" w:hAnsi="Arial" w:cs="Arial"/>
              </w:rPr>
              <w:t xml:space="preserve">Sharing potential subcontract compliance </w:t>
            </w:r>
            <w:r w:rsidR="00E42B8C" w:rsidRPr="009E114A">
              <w:rPr>
                <w:rFonts w:ascii="Arial" w:hAnsi="Arial" w:cs="Arial"/>
              </w:rPr>
              <w:t xml:space="preserve">risk information </w:t>
            </w:r>
            <w:r w:rsidRPr="009E114A">
              <w:rPr>
                <w:rFonts w:ascii="Arial" w:hAnsi="Arial" w:cs="Arial"/>
              </w:rPr>
              <w:t xml:space="preserve">and risk mitigation strategies will </w:t>
            </w:r>
            <w:r w:rsidR="00E42B8C" w:rsidRPr="009E114A">
              <w:rPr>
                <w:rFonts w:ascii="Arial" w:hAnsi="Arial" w:cs="Arial"/>
              </w:rPr>
              <w:t>reduce the occurrence of issues, improve project and supply chain performance, and promote earlier identification of issues.</w:t>
            </w:r>
          </w:p>
        </w:tc>
        <w:tc>
          <w:tcPr>
            <w:tcW w:w="1705" w:type="pct"/>
            <w:tcBorders>
              <w:left w:val="single" w:sz="8" w:space="0" w:color="4F81BD"/>
            </w:tcBorders>
          </w:tcPr>
          <w:p w:rsidR="004B3D73" w:rsidRPr="009E114A" w:rsidRDefault="00103766" w:rsidP="005C07D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114A">
              <w:rPr>
                <w:rFonts w:ascii="Arial" w:hAnsi="Arial" w:cs="Arial"/>
              </w:rPr>
              <w:t>3</w:t>
            </w:r>
            <w:r w:rsidR="00584489" w:rsidRPr="009E114A">
              <w:rPr>
                <w:rFonts w:ascii="Arial" w:hAnsi="Arial" w:cs="Arial"/>
              </w:rPr>
              <w:t xml:space="preserve">.3.1 </w:t>
            </w:r>
            <w:r w:rsidR="005C07DC" w:rsidRPr="009E114A">
              <w:rPr>
                <w:rFonts w:ascii="Arial" w:hAnsi="Arial" w:cs="Arial"/>
              </w:rPr>
              <w:t>Publish the subcontract compliance and risk mitigation strategies on the EFCOG Webpage and directly distribute to the PDWG members.</w:t>
            </w:r>
          </w:p>
          <w:p w:rsidR="00CD1141" w:rsidRPr="009E114A" w:rsidRDefault="00CD1141" w:rsidP="005C07D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CD1141" w:rsidRPr="009E114A" w:rsidRDefault="00CD1141" w:rsidP="005C07D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114A">
              <w:rPr>
                <w:rFonts w:ascii="Arial" w:hAnsi="Arial" w:cs="Arial"/>
                <w:b/>
              </w:rPr>
              <w:t>New/Proposed</w:t>
            </w:r>
          </w:p>
        </w:tc>
      </w:tr>
      <w:tr w:rsidR="004B3D73" w:rsidRPr="009E114A"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4B3D73" w:rsidRPr="009E114A" w:rsidRDefault="00103766" w:rsidP="00C90303">
            <w:pPr>
              <w:jc w:val="left"/>
              <w:rPr>
                <w:rFonts w:ascii="Arial" w:hAnsi="Arial" w:cs="Arial"/>
                <w:b w:val="0"/>
              </w:rPr>
            </w:pPr>
            <w:r w:rsidRPr="009E114A">
              <w:rPr>
                <w:rFonts w:ascii="Arial" w:hAnsi="Arial" w:cs="Arial"/>
                <w:b w:val="0"/>
              </w:rPr>
              <w:lastRenderedPageBreak/>
              <w:t>3</w:t>
            </w:r>
            <w:r w:rsidR="00584489" w:rsidRPr="009E114A">
              <w:rPr>
                <w:rFonts w:ascii="Arial" w:hAnsi="Arial" w:cs="Arial"/>
                <w:b w:val="0"/>
              </w:rPr>
              <w:t xml:space="preserve">.4 </w:t>
            </w:r>
            <w:r w:rsidR="00204CC6" w:rsidRPr="009E114A">
              <w:rPr>
                <w:rFonts w:ascii="Arial" w:hAnsi="Arial" w:cs="Arial"/>
                <w:b w:val="0"/>
              </w:rPr>
              <w:t xml:space="preserve">To the extent practicable and supported by contract awards, gather contractor industry input on the rollout of the ESCM Step 2.  </w:t>
            </w:r>
          </w:p>
          <w:p w:rsidR="00212B0B" w:rsidRPr="009E114A" w:rsidRDefault="00212B0B" w:rsidP="00C90303">
            <w:pPr>
              <w:jc w:val="left"/>
              <w:rPr>
                <w:rFonts w:ascii="Arial" w:hAnsi="Arial" w:cs="Arial"/>
                <w:b w:val="0"/>
              </w:rPr>
            </w:pPr>
          </w:p>
        </w:tc>
        <w:tc>
          <w:tcPr>
            <w:tcW w:w="1896" w:type="pct"/>
            <w:tcBorders>
              <w:left w:val="single" w:sz="8" w:space="0" w:color="4F81BD"/>
              <w:right w:val="single" w:sz="8" w:space="0" w:color="4F81BD"/>
            </w:tcBorders>
          </w:tcPr>
          <w:p w:rsidR="004B3D73" w:rsidRPr="009E114A" w:rsidRDefault="000278D2" w:rsidP="00E42B8C">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114A">
              <w:rPr>
                <w:rFonts w:ascii="Arial" w:hAnsi="Arial" w:cs="Arial"/>
              </w:rPr>
              <w:t>Provides lessons learned to identify opportunities to optimize the template contractual vehicle to improve its ability to achieve policy objectives</w:t>
            </w:r>
            <w:r w:rsidR="00E42B8C" w:rsidRPr="009E114A">
              <w:rPr>
                <w:rFonts w:ascii="Arial" w:hAnsi="Arial" w:cs="Arial"/>
              </w:rPr>
              <w:t>, and reduce</w:t>
            </w:r>
            <w:r w:rsidRPr="009E114A">
              <w:rPr>
                <w:rFonts w:ascii="Arial" w:hAnsi="Arial" w:cs="Arial"/>
              </w:rPr>
              <w:t xml:space="preserve"> ris</w:t>
            </w:r>
            <w:r w:rsidR="00E42B8C" w:rsidRPr="009E114A">
              <w:rPr>
                <w:rFonts w:ascii="Arial" w:hAnsi="Arial" w:cs="Arial"/>
              </w:rPr>
              <w:t xml:space="preserve">k and environmental liability. </w:t>
            </w:r>
          </w:p>
        </w:tc>
        <w:tc>
          <w:tcPr>
            <w:tcW w:w="1705" w:type="pct"/>
            <w:tcBorders>
              <w:left w:val="single" w:sz="8" w:space="0" w:color="4F81BD"/>
            </w:tcBorders>
          </w:tcPr>
          <w:p w:rsidR="004B3D73" w:rsidRPr="009E114A" w:rsidRDefault="00103766" w:rsidP="003A5CAC">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114A">
              <w:rPr>
                <w:rFonts w:ascii="Arial" w:hAnsi="Arial" w:cs="Arial"/>
              </w:rPr>
              <w:t>3</w:t>
            </w:r>
            <w:r w:rsidR="00584489" w:rsidRPr="009E114A">
              <w:rPr>
                <w:rFonts w:ascii="Arial" w:hAnsi="Arial" w:cs="Arial"/>
              </w:rPr>
              <w:t xml:space="preserve">.4.1 </w:t>
            </w:r>
            <w:r w:rsidR="00371085" w:rsidRPr="009E114A">
              <w:rPr>
                <w:rFonts w:ascii="Arial" w:hAnsi="Arial" w:cs="Arial"/>
              </w:rPr>
              <w:t>Publish the Lessons Learned through EFCOG and post on the EFCOG webpage</w:t>
            </w:r>
          </w:p>
          <w:p w:rsidR="00615D6A" w:rsidRPr="009E114A" w:rsidRDefault="00615D6A" w:rsidP="003A5CAC">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615D6A" w:rsidRPr="009E114A" w:rsidRDefault="00615D6A" w:rsidP="003A5CAC">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114A">
              <w:rPr>
                <w:rFonts w:ascii="Arial" w:hAnsi="Arial" w:cs="Arial"/>
                <w:b/>
              </w:rPr>
              <w:t>New/Proposed</w:t>
            </w:r>
          </w:p>
        </w:tc>
      </w:tr>
      <w:tr w:rsidR="00204CC6" w:rsidRPr="002A5727"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212B0B" w:rsidRPr="009E114A" w:rsidRDefault="00103766" w:rsidP="00103766">
            <w:pPr>
              <w:jc w:val="left"/>
              <w:rPr>
                <w:rFonts w:ascii="Arial" w:hAnsi="Arial" w:cs="Arial"/>
                <w:b w:val="0"/>
              </w:rPr>
            </w:pPr>
            <w:r w:rsidRPr="009E114A">
              <w:rPr>
                <w:rFonts w:ascii="Arial" w:hAnsi="Arial" w:cs="Arial"/>
                <w:b w:val="0"/>
              </w:rPr>
              <w:t>3</w:t>
            </w:r>
            <w:r w:rsidR="00584489" w:rsidRPr="009E114A">
              <w:rPr>
                <w:rFonts w:ascii="Arial" w:hAnsi="Arial" w:cs="Arial"/>
                <w:b w:val="0"/>
              </w:rPr>
              <w:t>.5</w:t>
            </w:r>
            <w:r w:rsidR="00212B0B" w:rsidRPr="009E114A">
              <w:rPr>
                <w:rFonts w:ascii="Arial" w:hAnsi="Arial" w:cs="Arial"/>
                <w:b w:val="0"/>
              </w:rPr>
              <w:t xml:space="preserve"> Identify practices in contract closeouts that may reduce the time, complexity, and cost of prime contract closeout.</w:t>
            </w:r>
          </w:p>
        </w:tc>
        <w:tc>
          <w:tcPr>
            <w:tcW w:w="1896" w:type="pct"/>
            <w:tcBorders>
              <w:left w:val="single" w:sz="8" w:space="0" w:color="4F81BD"/>
              <w:right w:val="single" w:sz="8" w:space="0" w:color="4F81BD"/>
            </w:tcBorders>
          </w:tcPr>
          <w:p w:rsidR="00204CC6" w:rsidRPr="009E114A" w:rsidRDefault="00000B12" w:rsidP="00000B12">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114A">
              <w:rPr>
                <w:rFonts w:ascii="Arial" w:hAnsi="Arial" w:cs="Arial"/>
              </w:rPr>
              <w:t>Initiating</w:t>
            </w:r>
            <w:r w:rsidR="00BB491C" w:rsidRPr="009E114A">
              <w:rPr>
                <w:rFonts w:ascii="Arial" w:hAnsi="Arial" w:cs="Arial"/>
              </w:rPr>
              <w:t xml:space="preserve"> contract closeout as early as possible </w:t>
            </w:r>
            <w:r w:rsidRPr="009E114A">
              <w:rPr>
                <w:rFonts w:ascii="Arial" w:hAnsi="Arial" w:cs="Arial"/>
              </w:rPr>
              <w:t>in the contract lifecycle increases clarity, significantly reduces the effects of “tribal knowledge” loss, and creates real-time closure of subcontracts, charge codes, and collection of documentation supporting accomplishment of contract deliverables.</w:t>
            </w:r>
          </w:p>
        </w:tc>
        <w:tc>
          <w:tcPr>
            <w:tcW w:w="1705" w:type="pct"/>
            <w:tcBorders>
              <w:left w:val="single" w:sz="8" w:space="0" w:color="4F81BD"/>
            </w:tcBorders>
          </w:tcPr>
          <w:p w:rsidR="00204CC6" w:rsidRPr="009E114A" w:rsidRDefault="00103766"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114A">
              <w:rPr>
                <w:rFonts w:ascii="Arial" w:hAnsi="Arial" w:cs="Arial"/>
              </w:rPr>
              <w:t>3</w:t>
            </w:r>
            <w:r w:rsidR="00584489" w:rsidRPr="009E114A">
              <w:rPr>
                <w:rFonts w:ascii="Arial" w:hAnsi="Arial" w:cs="Arial"/>
              </w:rPr>
              <w:t xml:space="preserve">.5.1 </w:t>
            </w:r>
            <w:r w:rsidR="00CF40F7" w:rsidRPr="009E114A">
              <w:rPr>
                <w:rFonts w:ascii="Arial" w:hAnsi="Arial" w:cs="Arial"/>
              </w:rPr>
              <w:t>Best Practice to be published on the EFCOG Webpage and directly distributed to the PDWG members.</w:t>
            </w:r>
          </w:p>
          <w:p w:rsidR="00584489" w:rsidRPr="009E114A" w:rsidRDefault="00584489"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584489" w:rsidRPr="009E114A" w:rsidRDefault="00584489"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584489" w:rsidRPr="003A5CAC" w:rsidRDefault="00584489" w:rsidP="003A5C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114A">
              <w:rPr>
                <w:rFonts w:ascii="Arial" w:hAnsi="Arial" w:cs="Arial"/>
                <w:b/>
              </w:rPr>
              <w:t>New/Proposed</w:t>
            </w:r>
          </w:p>
        </w:tc>
      </w:tr>
      <w:tr w:rsidR="00BD314E" w:rsidRPr="005731BA" w:rsidTr="0089112C">
        <w:trPr>
          <w:trHeight w:val="250"/>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rsidR="00BD314E" w:rsidRPr="00491C25" w:rsidRDefault="00103766" w:rsidP="00103766">
            <w:pPr>
              <w:spacing w:after="120"/>
              <w:jc w:val="center"/>
              <w:rPr>
                <w:rFonts w:ascii="Arial" w:hAnsi="Arial" w:cs="Arial"/>
              </w:rPr>
            </w:pPr>
            <w:r>
              <w:rPr>
                <w:rFonts w:ascii="Arial" w:hAnsi="Arial" w:cs="Arial"/>
              </w:rPr>
              <w:t>4</w:t>
            </w:r>
            <w:r w:rsidR="005D2382" w:rsidRPr="009B7587">
              <w:rPr>
                <w:rFonts w:ascii="Arial" w:hAnsi="Arial" w:cs="Arial"/>
              </w:rPr>
              <w:t xml:space="preserve">.0 </w:t>
            </w:r>
            <w:r w:rsidR="00BD314E" w:rsidRPr="009B7587">
              <w:rPr>
                <w:rFonts w:ascii="Arial" w:hAnsi="Arial" w:cs="Arial"/>
              </w:rPr>
              <w:t>Administrative</w:t>
            </w:r>
          </w:p>
        </w:tc>
      </w:tr>
      <w:tr w:rsidR="00E33352" w:rsidRPr="005731BA"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3C62B1" w:rsidRDefault="00103766" w:rsidP="002D4344">
            <w:pPr>
              <w:jc w:val="left"/>
              <w:rPr>
                <w:rFonts w:ascii="Arial" w:hAnsi="Arial" w:cs="Arial"/>
                <w:b w:val="0"/>
              </w:rPr>
            </w:pPr>
            <w:r>
              <w:rPr>
                <w:rFonts w:ascii="Arial" w:hAnsi="Arial" w:cs="Arial"/>
                <w:b w:val="0"/>
              </w:rPr>
              <w:t>4</w:t>
            </w:r>
            <w:r w:rsidR="00E33352" w:rsidRPr="005731BA">
              <w:rPr>
                <w:rFonts w:ascii="Arial" w:hAnsi="Arial" w:cs="Arial"/>
                <w:b w:val="0"/>
              </w:rPr>
              <w:t xml:space="preserve">.1 Expand PDWG “Rolodex”/list to include </w:t>
            </w:r>
            <w:r w:rsidR="00E33352">
              <w:rPr>
                <w:rFonts w:ascii="Arial" w:hAnsi="Arial" w:cs="Arial"/>
                <w:b w:val="0"/>
              </w:rPr>
              <w:t>a consolidated list from EFCOG/</w:t>
            </w:r>
            <w:r w:rsidR="0022379D">
              <w:rPr>
                <w:rFonts w:ascii="Arial" w:hAnsi="Arial" w:cs="Arial"/>
                <w:b w:val="0"/>
              </w:rPr>
              <w:t>SMEs</w:t>
            </w:r>
          </w:p>
        </w:tc>
        <w:tc>
          <w:tcPr>
            <w:tcW w:w="1896" w:type="pct"/>
            <w:tcBorders>
              <w:left w:val="single" w:sz="8" w:space="0" w:color="4F81BD"/>
              <w:right w:val="single" w:sz="8" w:space="0" w:color="4F81BD"/>
            </w:tcBorders>
          </w:tcPr>
          <w:p w:rsidR="00E33352" w:rsidRPr="005962D5" w:rsidRDefault="00E33352" w:rsidP="002A5727">
            <w:pPr>
              <w:keepNext/>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 xml:space="preserve">Utilizing the SMEs across the complex will support DOE efforts of </w:t>
            </w:r>
            <w:r w:rsidRPr="005731BA">
              <w:rPr>
                <w:rFonts w:ascii="Arial" w:hAnsi="Arial" w:cs="Arial"/>
                <w:i/>
              </w:rPr>
              <w:t>“Improving the Depar</w:t>
            </w:r>
            <w:r>
              <w:rPr>
                <w:rFonts w:ascii="Arial" w:hAnsi="Arial" w:cs="Arial"/>
                <w:i/>
              </w:rPr>
              <w:t xml:space="preserve">tment’s Management of Projects” </w:t>
            </w:r>
            <w:r>
              <w:rPr>
                <w:rFonts w:ascii="Arial" w:hAnsi="Arial" w:cs="Arial"/>
              </w:rPr>
              <w:t>and support agency reciprocity</w:t>
            </w:r>
          </w:p>
        </w:tc>
        <w:tc>
          <w:tcPr>
            <w:tcW w:w="1705" w:type="pct"/>
            <w:tcBorders>
              <w:left w:val="single" w:sz="8" w:space="0" w:color="4F81BD"/>
            </w:tcBorders>
          </w:tcPr>
          <w:p w:rsidR="00E33352" w:rsidRPr="005731BA" w:rsidRDefault="00103766"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 xml:space="preserve">.1.1 </w:t>
            </w:r>
            <w:r w:rsidR="009B7587">
              <w:rPr>
                <w:rFonts w:ascii="Arial" w:hAnsi="Arial" w:cs="Arial"/>
              </w:rPr>
              <w:t xml:space="preserve">Implement the format developed for the </w:t>
            </w:r>
            <w:r w:rsidR="0028029C">
              <w:rPr>
                <w:rFonts w:ascii="Arial" w:hAnsi="Arial" w:cs="Arial"/>
              </w:rPr>
              <w:t xml:space="preserve">enhanced </w:t>
            </w:r>
            <w:r w:rsidR="0028029C" w:rsidRPr="005731BA">
              <w:rPr>
                <w:rFonts w:ascii="Arial" w:hAnsi="Arial" w:cs="Arial"/>
              </w:rPr>
              <w:t>SME</w:t>
            </w:r>
            <w:r w:rsidR="00E33352" w:rsidRPr="005731BA">
              <w:rPr>
                <w:rFonts w:ascii="Arial" w:hAnsi="Arial" w:cs="Arial"/>
              </w:rPr>
              <w:t xml:space="preserve"> contact list </w:t>
            </w:r>
            <w:r w:rsidR="00E33352">
              <w:rPr>
                <w:rFonts w:ascii="Arial" w:hAnsi="Arial" w:cs="Arial"/>
              </w:rPr>
              <w:t>to capture EFCOG</w:t>
            </w:r>
            <w:r w:rsidR="0022379D">
              <w:rPr>
                <w:rFonts w:ascii="Arial" w:hAnsi="Arial" w:cs="Arial"/>
              </w:rPr>
              <w:t xml:space="preserve"> and ensure representation from NNSA and Office of Science Contractors</w:t>
            </w:r>
            <w:r w:rsidR="001B256C">
              <w:rPr>
                <w:rFonts w:ascii="Arial" w:hAnsi="Arial" w:cs="Arial"/>
              </w:rPr>
              <w:t xml:space="preserve"> </w:t>
            </w:r>
          </w:p>
          <w:p w:rsidR="009B7587" w:rsidRDefault="00103766" w:rsidP="009B758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 xml:space="preserve">.1.2 </w:t>
            </w:r>
            <w:r w:rsidR="00E33352">
              <w:rPr>
                <w:rFonts w:ascii="Arial" w:hAnsi="Arial" w:cs="Arial"/>
              </w:rPr>
              <w:t>Establish a maintenance plan and platform (EFCOG Support Contractor) to assure the SME list is current</w:t>
            </w:r>
          </w:p>
          <w:p w:rsidR="00E33352" w:rsidRDefault="00103766" w:rsidP="009B758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 xml:space="preserve">.1.3 </w:t>
            </w:r>
            <w:r w:rsidR="00E33352">
              <w:rPr>
                <w:rFonts w:ascii="Arial" w:hAnsi="Arial" w:cs="Arial"/>
              </w:rPr>
              <w:t>Place the consolidated “Rolodex” on the EFCOG main webpage</w:t>
            </w:r>
          </w:p>
          <w:p w:rsidR="00A643B7" w:rsidRPr="00A643B7" w:rsidRDefault="00A643B7" w:rsidP="009B758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A643B7">
              <w:rPr>
                <w:rFonts w:ascii="Arial" w:hAnsi="Arial" w:cs="Arial"/>
                <w:b/>
              </w:rPr>
              <w:t>Ongoing</w:t>
            </w:r>
          </w:p>
          <w:p w:rsidR="00385926" w:rsidRDefault="00103766" w:rsidP="00103766">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385926">
              <w:rPr>
                <w:rFonts w:ascii="Arial" w:hAnsi="Arial" w:cs="Arial"/>
              </w:rPr>
              <w:t>.1.4 Update the “</w:t>
            </w:r>
            <w:proofErr w:type="spellStart"/>
            <w:r w:rsidR="00385926">
              <w:rPr>
                <w:rFonts w:ascii="Arial" w:hAnsi="Arial" w:cs="Arial"/>
              </w:rPr>
              <w:t>Poneman</w:t>
            </w:r>
            <w:proofErr w:type="spellEnd"/>
            <w:r w:rsidR="00385926">
              <w:rPr>
                <w:rFonts w:ascii="Arial" w:hAnsi="Arial" w:cs="Arial"/>
              </w:rPr>
              <w:t>” Memo</w:t>
            </w:r>
          </w:p>
          <w:p w:rsidR="00A643B7" w:rsidRPr="00A643B7" w:rsidRDefault="00A643B7" w:rsidP="00103766">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A643B7">
              <w:rPr>
                <w:rFonts w:ascii="Arial" w:hAnsi="Arial" w:cs="Arial"/>
                <w:b/>
              </w:rPr>
              <w:t>New/Proposed</w:t>
            </w:r>
          </w:p>
        </w:tc>
      </w:tr>
      <w:tr w:rsidR="00E33352" w:rsidRPr="005731BA"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3C62B1" w:rsidRDefault="00103766" w:rsidP="00A643B7">
            <w:pPr>
              <w:jc w:val="left"/>
              <w:rPr>
                <w:rFonts w:ascii="Arial" w:hAnsi="Arial" w:cs="Arial"/>
                <w:b w:val="0"/>
              </w:rPr>
            </w:pPr>
            <w:r>
              <w:rPr>
                <w:rFonts w:ascii="Arial" w:hAnsi="Arial" w:cs="Arial"/>
                <w:b w:val="0"/>
              </w:rPr>
              <w:t>4</w:t>
            </w:r>
            <w:r w:rsidR="00E33352" w:rsidRPr="005731BA">
              <w:rPr>
                <w:rFonts w:ascii="Arial" w:hAnsi="Arial" w:cs="Arial"/>
                <w:b w:val="0"/>
              </w:rPr>
              <w:t>.2 PDWG internal communications</w:t>
            </w:r>
          </w:p>
        </w:tc>
        <w:tc>
          <w:tcPr>
            <w:tcW w:w="1896" w:type="pct"/>
            <w:tcBorders>
              <w:left w:val="single" w:sz="8" w:space="0" w:color="4F81BD"/>
              <w:right w:val="single" w:sz="8" w:space="0" w:color="4F81BD"/>
            </w:tcBorders>
          </w:tcPr>
          <w:p w:rsidR="00E33352" w:rsidRPr="005731BA" w:rsidRDefault="00E33352"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731BA">
              <w:rPr>
                <w:rFonts w:ascii="Arial" w:hAnsi="Arial" w:cs="Arial"/>
              </w:rPr>
              <w:t>Information sharing, knowledge</w:t>
            </w:r>
            <w:r w:rsidR="00601B90">
              <w:rPr>
                <w:rFonts w:ascii="Arial" w:hAnsi="Arial" w:cs="Arial"/>
              </w:rPr>
              <w:t>-</w:t>
            </w:r>
            <w:r w:rsidRPr="005731BA">
              <w:rPr>
                <w:rFonts w:ascii="Arial" w:hAnsi="Arial" w:cs="Arial"/>
              </w:rPr>
              <w:t xml:space="preserve"> transfer and consistency of purpose in EFCOG activities to best support the DOE complex. Support those efforts through a topic specific workshop developed in coordination with </w:t>
            </w:r>
            <w:r w:rsidRPr="005731BA">
              <w:rPr>
                <w:rFonts w:ascii="Arial" w:hAnsi="Arial" w:cs="Arial"/>
              </w:rPr>
              <w:lastRenderedPageBreak/>
              <w:t>DOE (HQ and Field).</w:t>
            </w:r>
          </w:p>
        </w:tc>
        <w:tc>
          <w:tcPr>
            <w:tcW w:w="1705" w:type="pct"/>
            <w:tcBorders>
              <w:left w:val="single" w:sz="8" w:space="0" w:color="4F81BD"/>
            </w:tcBorders>
          </w:tcPr>
          <w:p w:rsidR="00E33352" w:rsidRPr="005731BA" w:rsidRDefault="00103766"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4</w:t>
            </w:r>
            <w:r w:rsidR="00E33352" w:rsidRPr="005731BA">
              <w:rPr>
                <w:rFonts w:ascii="Arial" w:hAnsi="Arial" w:cs="Arial"/>
              </w:rPr>
              <w:t xml:space="preserve">.2.1 Hold meetings (typically monthly) via email, conference call or face-to-face meetings as necessary to maintain active engagement, SME networking and complete specific deliverables. </w:t>
            </w:r>
            <w:r w:rsidR="00E33352" w:rsidRPr="005731BA">
              <w:rPr>
                <w:rFonts w:ascii="Arial" w:hAnsi="Arial" w:cs="Arial"/>
              </w:rPr>
              <w:lastRenderedPageBreak/>
              <w:t>Maintain and publish agenda and action item list</w:t>
            </w:r>
            <w:r w:rsidR="00606485">
              <w:rPr>
                <w:rFonts w:ascii="Arial" w:hAnsi="Arial" w:cs="Arial"/>
              </w:rPr>
              <w:t xml:space="preserve"> </w:t>
            </w:r>
          </w:p>
          <w:p w:rsidR="00E33352" w:rsidRPr="005731BA" w:rsidRDefault="00103766"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 xml:space="preserve">.2.2 Workshops and operational meetings twice per year. Maintain and publish agenda, action item list and presented materials </w:t>
            </w:r>
          </w:p>
          <w:p w:rsidR="00104589" w:rsidRPr="005731BA" w:rsidRDefault="00103766" w:rsidP="00104589">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.2.3 Posting of meeting minutes, presented materials and notices to working (or task) group website and/or EFCOG website, as appropriate</w:t>
            </w:r>
          </w:p>
          <w:p w:rsidR="00E33352" w:rsidRPr="005731BA" w:rsidRDefault="00103766"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.2.4 Update and post Master PDWG contact list</w:t>
            </w:r>
          </w:p>
          <w:p w:rsidR="00E33352" w:rsidRDefault="00103766" w:rsidP="00103766">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.2.5 Hold a leadership meeting for strategic</w:t>
            </w:r>
            <w:r w:rsidR="008E24E8">
              <w:rPr>
                <w:rFonts w:ascii="Arial" w:hAnsi="Arial" w:cs="Arial"/>
              </w:rPr>
              <w:t xml:space="preserve"> </w:t>
            </w:r>
            <w:r w:rsidR="00E33352" w:rsidRPr="005731BA">
              <w:rPr>
                <w:rFonts w:ascii="Arial" w:hAnsi="Arial" w:cs="Arial"/>
              </w:rPr>
              <w:t>planning prior to the EFCOG Annual meeting</w:t>
            </w:r>
            <w:r w:rsidR="008E24E8">
              <w:rPr>
                <w:rFonts w:ascii="Arial" w:hAnsi="Arial" w:cs="Arial"/>
              </w:rPr>
              <w:t xml:space="preserve"> </w:t>
            </w:r>
          </w:p>
          <w:p w:rsidR="00D603A1" w:rsidRPr="005731BA" w:rsidRDefault="00D603A1" w:rsidP="00103766">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3766">
              <w:rPr>
                <w:rFonts w:ascii="Arial" w:hAnsi="Arial" w:cs="Arial"/>
                <w:b/>
              </w:rPr>
              <w:t>Ongoing</w:t>
            </w:r>
          </w:p>
        </w:tc>
      </w:tr>
      <w:tr w:rsidR="00E33352" w:rsidRPr="005731BA" w:rsidTr="008911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6D67CE" w:rsidRDefault="00103766" w:rsidP="00D603A1">
            <w:pPr>
              <w:jc w:val="left"/>
              <w:rPr>
                <w:rFonts w:ascii="Arial" w:hAnsi="Arial" w:cs="Arial"/>
                <w:b w:val="0"/>
              </w:rPr>
            </w:pPr>
            <w:r>
              <w:rPr>
                <w:rFonts w:ascii="Arial" w:hAnsi="Arial" w:cs="Arial"/>
                <w:b w:val="0"/>
              </w:rPr>
              <w:lastRenderedPageBreak/>
              <w:t>4</w:t>
            </w:r>
            <w:r w:rsidR="00E33352" w:rsidRPr="005731BA">
              <w:rPr>
                <w:rFonts w:ascii="Arial" w:hAnsi="Arial" w:cs="Arial"/>
                <w:b w:val="0"/>
              </w:rPr>
              <w:t>.3 PDWG client communications</w:t>
            </w:r>
          </w:p>
        </w:tc>
        <w:tc>
          <w:tcPr>
            <w:tcW w:w="1896" w:type="pct"/>
            <w:tcBorders>
              <w:left w:val="single" w:sz="8" w:space="0" w:color="4F81BD"/>
              <w:right w:val="single" w:sz="8" w:space="0" w:color="4F81BD"/>
            </w:tcBorders>
          </w:tcPr>
          <w:p w:rsidR="00E33352" w:rsidRPr="005731BA" w:rsidRDefault="00E33352" w:rsidP="002A5727">
            <w:pPr>
              <w:keepNext/>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Information sharing, knowledge transfer and consistency of purpose in EFCOG activities to best support the DOE complex.</w:t>
            </w:r>
          </w:p>
        </w:tc>
        <w:tc>
          <w:tcPr>
            <w:tcW w:w="1705" w:type="pct"/>
            <w:tcBorders>
              <w:left w:val="single" w:sz="8" w:space="0" w:color="4F81BD"/>
            </w:tcBorders>
          </w:tcPr>
          <w:p w:rsidR="00E33352" w:rsidRPr="005731BA" w:rsidRDefault="00103766"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 xml:space="preserve">.3.1 Communications with PDWG DOE Liaison </w:t>
            </w:r>
            <w:r w:rsidR="00E63D3D">
              <w:rPr>
                <w:rFonts w:ascii="Arial" w:hAnsi="Arial" w:cs="Arial"/>
              </w:rPr>
              <w:t>Mike Peek</w:t>
            </w:r>
            <w:r w:rsidR="00E33352" w:rsidRPr="005731BA">
              <w:rPr>
                <w:rFonts w:ascii="Arial" w:hAnsi="Arial" w:cs="Arial"/>
              </w:rPr>
              <w:t xml:space="preserve"> and DOE personnel and Task Sponsors as needed</w:t>
            </w:r>
          </w:p>
          <w:p w:rsidR="009B7587" w:rsidRDefault="00103766"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.3.2 Reporting to DOE on EFCOG deliverables and best practices</w:t>
            </w:r>
          </w:p>
          <w:p w:rsidR="009B7587" w:rsidRDefault="00103766" w:rsidP="009B758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.3.3 Develop a communication zipper chart between EFCOG and DOE</w:t>
            </w:r>
          </w:p>
          <w:p w:rsidR="00E33352" w:rsidRDefault="00103766" w:rsidP="00103766">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E33352" w:rsidRPr="005731BA">
              <w:rPr>
                <w:rFonts w:ascii="Arial" w:hAnsi="Arial" w:cs="Arial"/>
              </w:rPr>
              <w:t>.3.4 Update and improve presentation of and access to information on EFCOG website for ease of use</w:t>
            </w:r>
          </w:p>
          <w:p w:rsidR="00D603A1" w:rsidRPr="005731BA" w:rsidRDefault="00D603A1" w:rsidP="00103766">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3766">
              <w:rPr>
                <w:rFonts w:ascii="Arial" w:hAnsi="Arial" w:cs="Arial"/>
                <w:b/>
              </w:rPr>
              <w:t>Ongoing</w:t>
            </w:r>
          </w:p>
        </w:tc>
      </w:tr>
      <w:tr w:rsidR="00243CC1" w:rsidRPr="002A5727" w:rsidTr="0089112C">
        <w:trPr>
          <w:jc w:val="center"/>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243CC1" w:rsidRPr="00D603A1" w:rsidRDefault="00103766" w:rsidP="00D603A1">
            <w:pPr>
              <w:jc w:val="left"/>
              <w:rPr>
                <w:rFonts w:ascii="Arial" w:hAnsi="Arial" w:cs="Arial"/>
                <w:b w:val="0"/>
              </w:rPr>
            </w:pPr>
            <w:r>
              <w:rPr>
                <w:rFonts w:ascii="Arial" w:hAnsi="Arial" w:cs="Arial"/>
                <w:b w:val="0"/>
              </w:rPr>
              <w:t>4</w:t>
            </w:r>
            <w:r w:rsidR="00243CC1" w:rsidRPr="00D56796">
              <w:rPr>
                <w:rFonts w:ascii="Arial" w:hAnsi="Arial" w:cs="Arial"/>
                <w:b w:val="0"/>
              </w:rPr>
              <w:t>.</w:t>
            </w:r>
            <w:r w:rsidR="00243CC1">
              <w:rPr>
                <w:rFonts w:ascii="Arial" w:hAnsi="Arial" w:cs="Arial"/>
                <w:b w:val="0"/>
              </w:rPr>
              <w:t>4</w:t>
            </w:r>
            <w:r w:rsidR="00243CC1" w:rsidRPr="00D56796">
              <w:rPr>
                <w:rFonts w:ascii="Arial" w:hAnsi="Arial" w:cs="Arial"/>
                <w:b w:val="0"/>
              </w:rPr>
              <w:t xml:space="preserve"> </w:t>
            </w:r>
            <w:r w:rsidR="00D603A1">
              <w:rPr>
                <w:rFonts w:ascii="Arial" w:hAnsi="Arial" w:cs="Arial"/>
                <w:b w:val="0"/>
              </w:rPr>
              <w:t>Publish a Monthly News Letter</w:t>
            </w:r>
          </w:p>
        </w:tc>
        <w:tc>
          <w:tcPr>
            <w:tcW w:w="1896" w:type="pct"/>
            <w:tcBorders>
              <w:left w:val="single" w:sz="8" w:space="0" w:color="4F81BD"/>
              <w:right w:val="single" w:sz="8" w:space="0" w:color="4F81BD"/>
            </w:tcBorders>
          </w:tcPr>
          <w:p w:rsidR="00243CC1" w:rsidRPr="00491C25" w:rsidRDefault="008A22A4" w:rsidP="004B3D73">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A22A4">
              <w:rPr>
                <w:rFonts w:ascii="Arial" w:hAnsi="Arial" w:cs="Arial"/>
              </w:rPr>
              <w:t>The newsletter is intended to communicate and inform our members, customers, and sponsors of our ongoing activities, upcoming events, and interesting project information.</w:t>
            </w:r>
          </w:p>
        </w:tc>
        <w:tc>
          <w:tcPr>
            <w:tcW w:w="1705" w:type="pct"/>
            <w:tcBorders>
              <w:left w:val="single" w:sz="8" w:space="0" w:color="4F81BD"/>
            </w:tcBorders>
          </w:tcPr>
          <w:p w:rsidR="00243CC1" w:rsidRDefault="00103766" w:rsidP="008A22A4">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243CC1" w:rsidRPr="00491C25">
              <w:rPr>
                <w:rFonts w:ascii="Arial" w:hAnsi="Arial" w:cs="Arial"/>
              </w:rPr>
              <w:t>.</w:t>
            </w:r>
            <w:r w:rsidR="008A22A4">
              <w:rPr>
                <w:rFonts w:ascii="Arial" w:hAnsi="Arial" w:cs="Arial"/>
              </w:rPr>
              <w:t>4</w:t>
            </w:r>
            <w:r w:rsidR="00243CC1" w:rsidRPr="00491C25">
              <w:rPr>
                <w:rFonts w:ascii="Arial" w:hAnsi="Arial" w:cs="Arial"/>
              </w:rPr>
              <w:t xml:space="preserve">.1 </w:t>
            </w:r>
            <w:r w:rsidR="008A22A4">
              <w:rPr>
                <w:rFonts w:ascii="Arial" w:hAnsi="Arial" w:cs="Arial"/>
              </w:rPr>
              <w:t>Distribute Monthly News Letter to the PDWG and post to the EFCOG PDWG Webpage</w:t>
            </w:r>
            <w:r w:rsidR="00243CC1" w:rsidRPr="00C90303">
              <w:rPr>
                <w:rFonts w:ascii="Arial" w:hAnsi="Arial" w:cs="Arial"/>
              </w:rPr>
              <w:t>.</w:t>
            </w:r>
          </w:p>
          <w:p w:rsidR="003864CD" w:rsidRDefault="003864CD" w:rsidP="008A22A4">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3864CD" w:rsidRPr="00491C25" w:rsidRDefault="00D603A1" w:rsidP="008A22A4">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New/</w:t>
            </w:r>
            <w:r w:rsidR="003864CD" w:rsidRPr="00103766">
              <w:rPr>
                <w:rFonts w:ascii="Arial" w:hAnsi="Arial" w:cs="Arial"/>
                <w:b/>
              </w:rPr>
              <w:t>Ongoing</w:t>
            </w:r>
          </w:p>
        </w:tc>
      </w:tr>
    </w:tbl>
    <w:p w:rsidR="009B7587" w:rsidRDefault="009B7587" w:rsidP="00FA6A59">
      <w:pPr>
        <w:rPr>
          <w:rFonts w:ascii="Arial" w:hAnsi="Arial" w:cs="Arial"/>
          <w:bCs/>
        </w:rPr>
      </w:pPr>
    </w:p>
    <w:p w:rsidR="00FA6A59" w:rsidRDefault="00FA6A59" w:rsidP="00FA6A59">
      <w:pPr>
        <w:rPr>
          <w:rFonts w:ascii="Arial" w:hAnsi="Arial" w:cs="Arial"/>
          <w:bCs/>
        </w:rPr>
      </w:pPr>
      <w:r>
        <w:rPr>
          <w:rFonts w:ascii="Arial" w:hAnsi="Arial" w:cs="Arial"/>
          <w:bCs/>
        </w:rPr>
        <w:lastRenderedPageBreak/>
        <w:t>Additional Information:</w:t>
      </w:r>
    </w:p>
    <w:p w:rsidR="00BA30F7" w:rsidRPr="00F4487B" w:rsidRDefault="00BA30F7" w:rsidP="00BA30F7">
      <w:pPr>
        <w:pStyle w:val="ListParagraph"/>
        <w:numPr>
          <w:ilvl w:val="0"/>
          <w:numId w:val="2"/>
        </w:numPr>
        <w:spacing w:before="300"/>
        <w:rPr>
          <w:rFonts w:ascii="Arial" w:hAnsi="Arial" w:cs="Arial"/>
          <w:sz w:val="20"/>
          <w:szCs w:val="20"/>
        </w:rPr>
      </w:pPr>
      <w:r w:rsidRPr="00F4487B">
        <w:rPr>
          <w:rFonts w:ascii="Arial" w:hAnsi="Arial" w:cs="Arial"/>
          <w:sz w:val="20"/>
          <w:szCs w:val="20"/>
        </w:rPr>
        <w:t>Other Working Group Activities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Weekly and monthly conference calls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Face to face meetings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Other Working Group and lower tier activities not covered in the table above</w:t>
      </w:r>
    </w:p>
    <w:p w:rsidR="00BA30F7" w:rsidRPr="00F4487B" w:rsidRDefault="00BA30F7" w:rsidP="00BA30F7">
      <w:pPr>
        <w:pStyle w:val="ListParagraph"/>
        <w:numPr>
          <w:ilvl w:val="0"/>
          <w:numId w:val="2"/>
        </w:numPr>
        <w:spacing w:before="300"/>
        <w:rPr>
          <w:rFonts w:ascii="Arial" w:hAnsi="Arial" w:cs="Arial"/>
          <w:sz w:val="20"/>
          <w:szCs w:val="20"/>
        </w:rPr>
      </w:pPr>
      <w:r w:rsidRPr="00F4487B">
        <w:rPr>
          <w:rFonts w:ascii="Arial" w:hAnsi="Arial" w:cs="Arial"/>
          <w:sz w:val="20"/>
          <w:szCs w:val="20"/>
        </w:rPr>
        <w:t>Reporting and Communications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Plans for meeting minutes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Plans for any subgroups and/or task teams that may be ending/completing during FY201</w:t>
      </w:r>
      <w:r w:rsidR="00157C95">
        <w:rPr>
          <w:rFonts w:ascii="Arial" w:hAnsi="Arial" w:cs="Arial"/>
          <w:sz w:val="20"/>
          <w:szCs w:val="20"/>
        </w:rPr>
        <w:t>9</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Plans for posting information on the Working Group’s website including best practices and white papers</w:t>
      </w:r>
    </w:p>
    <w:p w:rsidR="00FA6A59" w:rsidRPr="00B713A7" w:rsidRDefault="00FA6A59" w:rsidP="00FA6A59">
      <w:pPr>
        <w:spacing w:before="100" w:beforeAutospacing="1" w:after="100" w:afterAutospacing="1" w:line="240" w:lineRule="auto"/>
        <w:rPr>
          <w:rFonts w:ascii="Arial" w:hAnsi="Arial" w:cs="Arial"/>
          <w:bCs/>
        </w:rPr>
      </w:pPr>
      <w:proofErr w:type="gramStart"/>
      <w:r>
        <w:rPr>
          <w:rFonts w:ascii="Arial" w:hAnsi="Arial" w:cs="Arial"/>
          <w:bCs/>
        </w:rPr>
        <w:t>Management and coordination of PDWG activities.</w:t>
      </w:r>
      <w:proofErr w:type="gramEnd"/>
      <w:r>
        <w:rPr>
          <w:rFonts w:ascii="Arial" w:hAnsi="Arial" w:cs="Arial"/>
          <w:bCs/>
        </w:rPr>
        <w:t xml:space="preserve"> This element supports leadership and coordination of working group activities, including interface with the DOE Liaison and task sponsors.  Routine (typically monthly) conference calls are used to coordinate operational tasks and focus areas, as well as to disseminate information across the working group membership.  Remote methods will be used as much as possible for task-specific work activities.  Face-to-face meetings will be conducted as determined to be cost-effective to support development of specific deliverables.  Focused meetings may be conducted in conjunction with other conferences/meetings in an effort to minimize costs to the government.  It is anticipated that new tasks will be added and ad hoc tasks may be identified as emerging issues are recommended by the working group or requested by DOE and coordinated with the DOE Lia</w:t>
      </w:r>
      <w:r w:rsidR="00D96EB9">
        <w:rPr>
          <w:rFonts w:ascii="Arial" w:hAnsi="Arial" w:cs="Arial"/>
          <w:bCs/>
        </w:rPr>
        <w:t xml:space="preserve">ison.  </w:t>
      </w:r>
      <w:r>
        <w:rPr>
          <w:rFonts w:ascii="Arial" w:hAnsi="Arial" w:cs="Arial"/>
          <w:bCs/>
        </w:rPr>
        <w:t>It is anticipated that two working group meetings will be held in FY</w:t>
      </w:r>
      <w:r w:rsidR="00D96EB9">
        <w:rPr>
          <w:rFonts w:ascii="Arial" w:hAnsi="Arial" w:cs="Arial"/>
          <w:bCs/>
        </w:rPr>
        <w:t>20</w:t>
      </w:r>
      <w:r w:rsidR="00AA4986">
        <w:rPr>
          <w:rFonts w:ascii="Arial" w:hAnsi="Arial" w:cs="Arial"/>
          <w:bCs/>
        </w:rPr>
        <w:t>20</w:t>
      </w:r>
      <w:r>
        <w:rPr>
          <w:rFonts w:ascii="Arial" w:hAnsi="Arial" w:cs="Arial"/>
          <w:bCs/>
        </w:rPr>
        <w:t>.  EFCOG workshops, PDWG working meetings, and working/planning sessions may coincide with the EFCOG Annual Meetings, although it is anticipated that PDWG face to face meeting</w:t>
      </w:r>
      <w:r w:rsidR="00AA4986">
        <w:rPr>
          <w:rFonts w:ascii="Arial" w:hAnsi="Arial" w:cs="Arial"/>
          <w:bCs/>
        </w:rPr>
        <w:t>s</w:t>
      </w:r>
      <w:r>
        <w:rPr>
          <w:rFonts w:ascii="Arial" w:hAnsi="Arial" w:cs="Arial"/>
          <w:bCs/>
        </w:rPr>
        <w:t xml:space="preserve"> </w:t>
      </w:r>
      <w:r w:rsidR="00AA4986">
        <w:rPr>
          <w:rFonts w:ascii="Arial" w:hAnsi="Arial" w:cs="Arial"/>
          <w:bCs/>
        </w:rPr>
        <w:t>may/</w:t>
      </w:r>
      <w:r>
        <w:rPr>
          <w:rFonts w:ascii="Arial" w:hAnsi="Arial" w:cs="Arial"/>
          <w:bCs/>
        </w:rPr>
        <w:t>will be held separately</w:t>
      </w:r>
      <w:r w:rsidR="00AA4986">
        <w:rPr>
          <w:rFonts w:ascii="Arial" w:hAnsi="Arial" w:cs="Arial"/>
          <w:bCs/>
        </w:rPr>
        <w:t>.</w:t>
      </w:r>
    </w:p>
    <w:p w:rsidR="00CF4F71" w:rsidRPr="00AD0E1A" w:rsidRDefault="00CF4F71" w:rsidP="00C274FA">
      <w:pPr>
        <w:rPr>
          <w:vanish/>
        </w:rPr>
      </w:pPr>
    </w:p>
    <w:sectPr w:rsidR="00CF4F71" w:rsidRPr="00AD0E1A" w:rsidSect="00A73DF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11" w:rsidRDefault="002B1811" w:rsidP="00AC3E3F">
      <w:pPr>
        <w:spacing w:after="0" w:line="240" w:lineRule="auto"/>
      </w:pPr>
      <w:r>
        <w:separator/>
      </w:r>
    </w:p>
  </w:endnote>
  <w:endnote w:type="continuationSeparator" w:id="0">
    <w:p w:rsidR="002B1811" w:rsidRDefault="002B1811" w:rsidP="00AC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28D5" w:rsidRDefault="000828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03815258"/>
      <w:docPartObj>
        <w:docPartGallery w:val="Page Numbers (Bottom of Page)"/>
        <w:docPartUnique/>
      </w:docPartObj>
    </w:sdtPr>
    <w:sdtEndPr/>
    <w:sdtContent>
      <w:sdt>
        <w:sdtPr>
          <w:id w:val="1728636285"/>
          <w:docPartObj>
            <w:docPartGallery w:val="Page Numbers (Top of Page)"/>
            <w:docPartUnique/>
          </w:docPartObj>
        </w:sdtPr>
        <w:sdtEndPr/>
        <w:sdtContent>
          <w:p w:rsidR="00B51F95" w:rsidRDefault="00B51F95">
            <w:pPr>
              <w:pStyle w:val="Footer"/>
            </w:pPr>
            <w:r>
              <w:t xml:space="preserve">Page </w:t>
            </w:r>
            <w:r>
              <w:rPr>
                <w:b/>
                <w:bCs/>
                <w:szCs w:val="24"/>
              </w:rPr>
              <w:fldChar w:fldCharType="begin"/>
            </w:r>
            <w:r>
              <w:rPr>
                <w:b/>
                <w:bCs/>
              </w:rPr>
              <w:instrText xml:space="preserve"> PAGE </w:instrText>
            </w:r>
            <w:r>
              <w:rPr>
                <w:b/>
                <w:bCs/>
                <w:szCs w:val="24"/>
              </w:rPr>
              <w:fldChar w:fldCharType="separate"/>
            </w:r>
            <w:r w:rsidR="000F678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6786">
              <w:rPr>
                <w:b/>
                <w:bCs/>
                <w:noProof/>
              </w:rPr>
              <w:t>8</w:t>
            </w:r>
            <w:r>
              <w:rPr>
                <w:b/>
                <w:bCs/>
                <w:szCs w:val="24"/>
              </w:rPr>
              <w:fldChar w:fldCharType="end"/>
            </w:r>
          </w:p>
        </w:sdtContent>
      </w:sdt>
    </w:sdtContent>
  </w:sdt>
  <w:p w:rsidR="00B51F95" w:rsidRDefault="00B51F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51F95" w:rsidRDefault="00B51F95" w:rsidP="00EC27E5">
    <w:pPr>
      <w:pStyle w:val="Footer"/>
      <w:pBdr>
        <w:top w:val="single" w:sz="4" w:space="1" w:color="auto"/>
      </w:pBdr>
      <w:tabs>
        <w:tab w:val="clear" w:pos="4320"/>
        <w:tab w:val="clear" w:pos="9480"/>
        <w:tab w:val="left" w:pos="12870"/>
      </w:tabs>
      <w:spacing w:before="0"/>
      <w:ind w:left="0" w:right="0"/>
      <w:jc w:val="left"/>
      <w:rPr>
        <w:sz w:val="18"/>
      </w:rPr>
    </w:pPr>
    <w:r>
      <w:rPr>
        <w:rStyle w:val="PageNumber"/>
        <w:sz w:val="18"/>
      </w:rPr>
      <w:t>FY2014 annual report to the MEMBERS</w:t>
    </w:r>
    <w:r>
      <w:rPr>
        <w:rStyle w:val="PageNumbe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16</w:t>
    </w:r>
    <w:r>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11" w:rsidRDefault="002B1811" w:rsidP="00AC3E3F">
      <w:pPr>
        <w:spacing w:after="0" w:line="240" w:lineRule="auto"/>
      </w:pPr>
      <w:r>
        <w:separator/>
      </w:r>
    </w:p>
  </w:footnote>
  <w:footnote w:type="continuationSeparator" w:id="0">
    <w:p w:rsidR="002B1811" w:rsidRDefault="002B1811" w:rsidP="00AC3E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28D5" w:rsidRDefault="000828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51F95" w:rsidRDefault="000F6786" w:rsidP="00965058">
    <w:pPr>
      <w:pStyle w:val="Header"/>
      <w:spacing w:after="0"/>
      <w:rPr>
        <w:rStyle w:val="PageNumber"/>
        <w:b/>
        <w:sz w:val="18"/>
      </w:rPr>
    </w:pPr>
    <w:sdt>
      <w:sdtPr>
        <w:rPr>
          <w:b/>
          <w:sz w:val="24"/>
        </w:rPr>
        <w:id w:val="-1277397918"/>
        <w:docPartObj>
          <w:docPartGallery w:val="Watermarks"/>
          <w:docPartUnique/>
        </w:docPartObj>
      </w:sdtPr>
      <w:sdtEndPr/>
      <w:sdtContent>
        <w:r>
          <w:rPr>
            <w:b/>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1F95" w:rsidRPr="002A6723">
      <w:rPr>
        <w:b/>
      </w:rPr>
      <w:t>Project Delivery Working Group</w:t>
    </w:r>
    <w:r w:rsidR="00B51F95">
      <w:rPr>
        <w:b/>
      </w:rPr>
      <w:t xml:space="preserve"> (PDWG) Annual Work Plan (AWP)</w:t>
    </w:r>
    <w:r w:rsidR="00B51F95">
      <w:rPr>
        <w:rStyle w:val="PageNumber"/>
        <w:b/>
        <w:sz w:val="18"/>
      </w:rPr>
      <w:t xml:space="preserve"> </w:t>
    </w:r>
  </w:p>
  <w:p w:rsidR="00B51F95" w:rsidRPr="0090723D" w:rsidRDefault="00B51F95" w:rsidP="0090723D">
    <w:pPr>
      <w:pStyle w:val="Header"/>
      <w:spacing w:after="0"/>
      <w:rPr>
        <w:b/>
        <w:sz w:val="40"/>
      </w:rPr>
    </w:pPr>
    <w:r>
      <w:rPr>
        <w:rStyle w:val="PageNumber"/>
        <w:b/>
        <w:sz w:val="40"/>
      </w:rPr>
      <w:t>FY2020 PRoPOSED awp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51F95" w:rsidRPr="001C51DE" w:rsidRDefault="00B51F95" w:rsidP="00EC27E5">
    <w:pPr>
      <w:pStyle w:val="Header"/>
      <w:tabs>
        <w:tab w:val="left" w:pos="4845"/>
      </w:tabs>
      <w:jc w:val="both"/>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A34"/>
    <w:multiLevelType w:val="hybridMultilevel"/>
    <w:tmpl w:val="DA7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16285"/>
    <w:multiLevelType w:val="hybridMultilevel"/>
    <w:tmpl w:val="B816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35D51"/>
    <w:multiLevelType w:val="hybridMultilevel"/>
    <w:tmpl w:val="79B8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14AC8"/>
    <w:multiLevelType w:val="hybridMultilevel"/>
    <w:tmpl w:val="238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D5CEF"/>
    <w:multiLevelType w:val="hybridMultilevel"/>
    <w:tmpl w:val="2C3E9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ED5755"/>
    <w:multiLevelType w:val="hybridMultilevel"/>
    <w:tmpl w:val="CB2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4143E"/>
    <w:multiLevelType w:val="hybridMultilevel"/>
    <w:tmpl w:val="E202F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4"/>
  </w:num>
  <w:num w:numId="5">
    <w:abstractNumId w:val="3"/>
  </w:num>
  <w:num w:numId="6">
    <w:abstractNumId w:val="1"/>
  </w:num>
  <w:num w:numId="7">
    <w:abstractNumId w:val="0"/>
  </w:num>
  <w:num w:numId="8">
    <w:abstractNumId w:val="2"/>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3F"/>
    <w:rsid w:val="00000B12"/>
    <w:rsid w:val="00005067"/>
    <w:rsid w:val="000052AF"/>
    <w:rsid w:val="00006902"/>
    <w:rsid w:val="000071DC"/>
    <w:rsid w:val="00012037"/>
    <w:rsid w:val="00013C8E"/>
    <w:rsid w:val="00014CA1"/>
    <w:rsid w:val="00022B77"/>
    <w:rsid w:val="000278D2"/>
    <w:rsid w:val="000357DF"/>
    <w:rsid w:val="000365A1"/>
    <w:rsid w:val="00043BF0"/>
    <w:rsid w:val="000522CA"/>
    <w:rsid w:val="0006789A"/>
    <w:rsid w:val="00071BDA"/>
    <w:rsid w:val="00081507"/>
    <w:rsid w:val="000828D5"/>
    <w:rsid w:val="00083C31"/>
    <w:rsid w:val="00090E51"/>
    <w:rsid w:val="00092F51"/>
    <w:rsid w:val="000936B5"/>
    <w:rsid w:val="00097FC7"/>
    <w:rsid w:val="000A2316"/>
    <w:rsid w:val="000A27E5"/>
    <w:rsid w:val="000A4C3E"/>
    <w:rsid w:val="000A610A"/>
    <w:rsid w:val="000A705F"/>
    <w:rsid w:val="000B1C24"/>
    <w:rsid w:val="000E55FA"/>
    <w:rsid w:val="000F2782"/>
    <w:rsid w:val="000F6786"/>
    <w:rsid w:val="00102642"/>
    <w:rsid w:val="00103766"/>
    <w:rsid w:val="00104589"/>
    <w:rsid w:val="0010574D"/>
    <w:rsid w:val="00106759"/>
    <w:rsid w:val="001138C1"/>
    <w:rsid w:val="001214E9"/>
    <w:rsid w:val="001260FE"/>
    <w:rsid w:val="001319EC"/>
    <w:rsid w:val="001328A8"/>
    <w:rsid w:val="00141CD9"/>
    <w:rsid w:val="00146D6F"/>
    <w:rsid w:val="001517E6"/>
    <w:rsid w:val="00157C95"/>
    <w:rsid w:val="001647E3"/>
    <w:rsid w:val="00175F3C"/>
    <w:rsid w:val="00180810"/>
    <w:rsid w:val="001820A5"/>
    <w:rsid w:val="0018238B"/>
    <w:rsid w:val="00182A12"/>
    <w:rsid w:val="00184692"/>
    <w:rsid w:val="001900F1"/>
    <w:rsid w:val="00192C50"/>
    <w:rsid w:val="001A6F8A"/>
    <w:rsid w:val="001B08AA"/>
    <w:rsid w:val="001B256C"/>
    <w:rsid w:val="001B766D"/>
    <w:rsid w:val="001C547E"/>
    <w:rsid w:val="001D20AC"/>
    <w:rsid w:val="001D6066"/>
    <w:rsid w:val="001E1096"/>
    <w:rsid w:val="001E2D01"/>
    <w:rsid w:val="002021C3"/>
    <w:rsid w:val="00204CC6"/>
    <w:rsid w:val="002103DD"/>
    <w:rsid w:val="00211EBF"/>
    <w:rsid w:val="00212B0B"/>
    <w:rsid w:val="00213268"/>
    <w:rsid w:val="00215570"/>
    <w:rsid w:val="00215E51"/>
    <w:rsid w:val="00222B8D"/>
    <w:rsid w:val="002234C5"/>
    <w:rsid w:val="0022379D"/>
    <w:rsid w:val="00235594"/>
    <w:rsid w:val="002413AE"/>
    <w:rsid w:val="00241635"/>
    <w:rsid w:val="00243CC1"/>
    <w:rsid w:val="00244E56"/>
    <w:rsid w:val="00257FCC"/>
    <w:rsid w:val="0026391B"/>
    <w:rsid w:val="00267708"/>
    <w:rsid w:val="00275820"/>
    <w:rsid w:val="0028029C"/>
    <w:rsid w:val="00290027"/>
    <w:rsid w:val="00291629"/>
    <w:rsid w:val="002A5727"/>
    <w:rsid w:val="002A6723"/>
    <w:rsid w:val="002A77A7"/>
    <w:rsid w:val="002B1811"/>
    <w:rsid w:val="002B6486"/>
    <w:rsid w:val="002B7518"/>
    <w:rsid w:val="002C6617"/>
    <w:rsid w:val="002D4344"/>
    <w:rsid w:val="002D4AFA"/>
    <w:rsid w:val="002D5060"/>
    <w:rsid w:val="002E5387"/>
    <w:rsid w:val="003058E3"/>
    <w:rsid w:val="00313D68"/>
    <w:rsid w:val="003211F2"/>
    <w:rsid w:val="00323896"/>
    <w:rsid w:val="0033646D"/>
    <w:rsid w:val="00337122"/>
    <w:rsid w:val="00340EB8"/>
    <w:rsid w:val="003423B9"/>
    <w:rsid w:val="00357014"/>
    <w:rsid w:val="003609D8"/>
    <w:rsid w:val="003642AE"/>
    <w:rsid w:val="003707C8"/>
    <w:rsid w:val="00371085"/>
    <w:rsid w:val="00384E3C"/>
    <w:rsid w:val="00385926"/>
    <w:rsid w:val="003864CD"/>
    <w:rsid w:val="00395485"/>
    <w:rsid w:val="003A5CAC"/>
    <w:rsid w:val="003C0C1F"/>
    <w:rsid w:val="003C0DE2"/>
    <w:rsid w:val="003C1D37"/>
    <w:rsid w:val="003C2303"/>
    <w:rsid w:val="003C62B1"/>
    <w:rsid w:val="003D2208"/>
    <w:rsid w:val="003E586C"/>
    <w:rsid w:val="003E74AE"/>
    <w:rsid w:val="003F0E6E"/>
    <w:rsid w:val="003F7CFC"/>
    <w:rsid w:val="004069FD"/>
    <w:rsid w:val="0041339C"/>
    <w:rsid w:val="00416753"/>
    <w:rsid w:val="00425650"/>
    <w:rsid w:val="0042608E"/>
    <w:rsid w:val="00430CBE"/>
    <w:rsid w:val="00431E22"/>
    <w:rsid w:val="00432927"/>
    <w:rsid w:val="00440795"/>
    <w:rsid w:val="004417F5"/>
    <w:rsid w:val="00444C4D"/>
    <w:rsid w:val="00463CE0"/>
    <w:rsid w:val="00465A49"/>
    <w:rsid w:val="00473CA0"/>
    <w:rsid w:val="00480EE9"/>
    <w:rsid w:val="00485293"/>
    <w:rsid w:val="00491C25"/>
    <w:rsid w:val="004923F2"/>
    <w:rsid w:val="00496FEF"/>
    <w:rsid w:val="004A14D6"/>
    <w:rsid w:val="004A38E1"/>
    <w:rsid w:val="004A72D5"/>
    <w:rsid w:val="004B1577"/>
    <w:rsid w:val="004B3A2F"/>
    <w:rsid w:val="004B3D73"/>
    <w:rsid w:val="004B715C"/>
    <w:rsid w:val="004C01EB"/>
    <w:rsid w:val="004C468D"/>
    <w:rsid w:val="004C5400"/>
    <w:rsid w:val="004C7286"/>
    <w:rsid w:val="004D242F"/>
    <w:rsid w:val="004E0B79"/>
    <w:rsid w:val="004E6B38"/>
    <w:rsid w:val="004E7435"/>
    <w:rsid w:val="004F0638"/>
    <w:rsid w:val="00512994"/>
    <w:rsid w:val="0051440A"/>
    <w:rsid w:val="0052065F"/>
    <w:rsid w:val="00520681"/>
    <w:rsid w:val="00520FED"/>
    <w:rsid w:val="00521095"/>
    <w:rsid w:val="00524188"/>
    <w:rsid w:val="00530C3D"/>
    <w:rsid w:val="00531EBE"/>
    <w:rsid w:val="005336CC"/>
    <w:rsid w:val="00543E36"/>
    <w:rsid w:val="00547480"/>
    <w:rsid w:val="00561C1C"/>
    <w:rsid w:val="00566EA7"/>
    <w:rsid w:val="00572955"/>
    <w:rsid w:val="005731BA"/>
    <w:rsid w:val="005769B1"/>
    <w:rsid w:val="00584489"/>
    <w:rsid w:val="00587381"/>
    <w:rsid w:val="0058797A"/>
    <w:rsid w:val="00590EF6"/>
    <w:rsid w:val="00592D90"/>
    <w:rsid w:val="0059347B"/>
    <w:rsid w:val="00593CFE"/>
    <w:rsid w:val="005962D5"/>
    <w:rsid w:val="005A1059"/>
    <w:rsid w:val="005A113C"/>
    <w:rsid w:val="005A2467"/>
    <w:rsid w:val="005C07DC"/>
    <w:rsid w:val="005C3D5C"/>
    <w:rsid w:val="005C53E5"/>
    <w:rsid w:val="005C56DC"/>
    <w:rsid w:val="005C76F0"/>
    <w:rsid w:val="005D09D3"/>
    <w:rsid w:val="005D2382"/>
    <w:rsid w:val="005D5710"/>
    <w:rsid w:val="005E0E1C"/>
    <w:rsid w:val="005E4D8E"/>
    <w:rsid w:val="005E51CF"/>
    <w:rsid w:val="005F671A"/>
    <w:rsid w:val="005F67FC"/>
    <w:rsid w:val="00601A6C"/>
    <w:rsid w:val="00601B90"/>
    <w:rsid w:val="00602495"/>
    <w:rsid w:val="0060345D"/>
    <w:rsid w:val="00606485"/>
    <w:rsid w:val="00607562"/>
    <w:rsid w:val="00612336"/>
    <w:rsid w:val="00614B37"/>
    <w:rsid w:val="00615D6A"/>
    <w:rsid w:val="00620583"/>
    <w:rsid w:val="00620ABE"/>
    <w:rsid w:val="00621695"/>
    <w:rsid w:val="00625EEE"/>
    <w:rsid w:val="006330F3"/>
    <w:rsid w:val="0063514E"/>
    <w:rsid w:val="00635360"/>
    <w:rsid w:val="00640532"/>
    <w:rsid w:val="00643B36"/>
    <w:rsid w:val="00656245"/>
    <w:rsid w:val="0065772B"/>
    <w:rsid w:val="00660A18"/>
    <w:rsid w:val="00662BE3"/>
    <w:rsid w:val="0067383C"/>
    <w:rsid w:val="00680B44"/>
    <w:rsid w:val="00687B0E"/>
    <w:rsid w:val="006926F3"/>
    <w:rsid w:val="00693660"/>
    <w:rsid w:val="006978E7"/>
    <w:rsid w:val="006A5548"/>
    <w:rsid w:val="006B1A62"/>
    <w:rsid w:val="006C25AD"/>
    <w:rsid w:val="006C4EDF"/>
    <w:rsid w:val="006D0A40"/>
    <w:rsid w:val="006D356D"/>
    <w:rsid w:val="006D52C0"/>
    <w:rsid w:val="006D67CE"/>
    <w:rsid w:val="006D7C32"/>
    <w:rsid w:val="006E6D27"/>
    <w:rsid w:val="006F7546"/>
    <w:rsid w:val="0070139C"/>
    <w:rsid w:val="00712FDA"/>
    <w:rsid w:val="0073397D"/>
    <w:rsid w:val="00733FBD"/>
    <w:rsid w:val="00735192"/>
    <w:rsid w:val="007356C8"/>
    <w:rsid w:val="00743732"/>
    <w:rsid w:val="00747035"/>
    <w:rsid w:val="00750542"/>
    <w:rsid w:val="00751795"/>
    <w:rsid w:val="00752898"/>
    <w:rsid w:val="00763D5E"/>
    <w:rsid w:val="0077102F"/>
    <w:rsid w:val="00780D5F"/>
    <w:rsid w:val="0078532C"/>
    <w:rsid w:val="007A6EDB"/>
    <w:rsid w:val="007B4CD6"/>
    <w:rsid w:val="007C29CB"/>
    <w:rsid w:val="007C54B9"/>
    <w:rsid w:val="007D4E1C"/>
    <w:rsid w:val="007D60EB"/>
    <w:rsid w:val="007F3625"/>
    <w:rsid w:val="007F4282"/>
    <w:rsid w:val="007F4A29"/>
    <w:rsid w:val="00800DAC"/>
    <w:rsid w:val="008143E5"/>
    <w:rsid w:val="00814D13"/>
    <w:rsid w:val="00816844"/>
    <w:rsid w:val="00830E53"/>
    <w:rsid w:val="00831D42"/>
    <w:rsid w:val="00835D14"/>
    <w:rsid w:val="00841777"/>
    <w:rsid w:val="00845EB8"/>
    <w:rsid w:val="00852427"/>
    <w:rsid w:val="00854F8E"/>
    <w:rsid w:val="008606F8"/>
    <w:rsid w:val="00861534"/>
    <w:rsid w:val="0086705C"/>
    <w:rsid w:val="00873055"/>
    <w:rsid w:val="00873BC8"/>
    <w:rsid w:val="008754F1"/>
    <w:rsid w:val="0089112C"/>
    <w:rsid w:val="00893068"/>
    <w:rsid w:val="008A22A4"/>
    <w:rsid w:val="008A2FDA"/>
    <w:rsid w:val="008A53C3"/>
    <w:rsid w:val="008C5E02"/>
    <w:rsid w:val="008C6CEE"/>
    <w:rsid w:val="008D0CE2"/>
    <w:rsid w:val="008D6A9D"/>
    <w:rsid w:val="008D6CA3"/>
    <w:rsid w:val="008E24E8"/>
    <w:rsid w:val="008E55AF"/>
    <w:rsid w:val="008E6C47"/>
    <w:rsid w:val="008F1426"/>
    <w:rsid w:val="008F29F2"/>
    <w:rsid w:val="008F6F9F"/>
    <w:rsid w:val="0090287D"/>
    <w:rsid w:val="0090723D"/>
    <w:rsid w:val="00923E76"/>
    <w:rsid w:val="0092487F"/>
    <w:rsid w:val="0094053B"/>
    <w:rsid w:val="009406DC"/>
    <w:rsid w:val="0094372F"/>
    <w:rsid w:val="00952B09"/>
    <w:rsid w:val="00954C7D"/>
    <w:rsid w:val="009570A8"/>
    <w:rsid w:val="00965058"/>
    <w:rsid w:val="00971344"/>
    <w:rsid w:val="0097356E"/>
    <w:rsid w:val="00975F3B"/>
    <w:rsid w:val="00976CC3"/>
    <w:rsid w:val="00977FA3"/>
    <w:rsid w:val="00985525"/>
    <w:rsid w:val="00993FB8"/>
    <w:rsid w:val="009A3439"/>
    <w:rsid w:val="009B10F0"/>
    <w:rsid w:val="009B3708"/>
    <w:rsid w:val="009B7587"/>
    <w:rsid w:val="009C036C"/>
    <w:rsid w:val="009C0840"/>
    <w:rsid w:val="009C2A54"/>
    <w:rsid w:val="009D38A9"/>
    <w:rsid w:val="009D4D4D"/>
    <w:rsid w:val="009D743C"/>
    <w:rsid w:val="009E114A"/>
    <w:rsid w:val="009F263F"/>
    <w:rsid w:val="00A018AE"/>
    <w:rsid w:val="00A01983"/>
    <w:rsid w:val="00A0323C"/>
    <w:rsid w:val="00A03DFB"/>
    <w:rsid w:val="00A06A31"/>
    <w:rsid w:val="00A12CA5"/>
    <w:rsid w:val="00A31A50"/>
    <w:rsid w:val="00A36F49"/>
    <w:rsid w:val="00A37C84"/>
    <w:rsid w:val="00A47271"/>
    <w:rsid w:val="00A54FCE"/>
    <w:rsid w:val="00A56246"/>
    <w:rsid w:val="00A57117"/>
    <w:rsid w:val="00A60704"/>
    <w:rsid w:val="00A616CE"/>
    <w:rsid w:val="00A643B7"/>
    <w:rsid w:val="00A64C80"/>
    <w:rsid w:val="00A65D90"/>
    <w:rsid w:val="00A73405"/>
    <w:rsid w:val="00A73DF0"/>
    <w:rsid w:val="00A82BD0"/>
    <w:rsid w:val="00A8686A"/>
    <w:rsid w:val="00A92014"/>
    <w:rsid w:val="00A95022"/>
    <w:rsid w:val="00AA4986"/>
    <w:rsid w:val="00AC3E3F"/>
    <w:rsid w:val="00AD0E1A"/>
    <w:rsid w:val="00AD51B4"/>
    <w:rsid w:val="00AE651F"/>
    <w:rsid w:val="00AF0144"/>
    <w:rsid w:val="00AF7770"/>
    <w:rsid w:val="00B01529"/>
    <w:rsid w:val="00B05734"/>
    <w:rsid w:val="00B1593A"/>
    <w:rsid w:val="00B214BC"/>
    <w:rsid w:val="00B219AB"/>
    <w:rsid w:val="00B33AAA"/>
    <w:rsid w:val="00B45983"/>
    <w:rsid w:val="00B51250"/>
    <w:rsid w:val="00B51F95"/>
    <w:rsid w:val="00B521A7"/>
    <w:rsid w:val="00B55B73"/>
    <w:rsid w:val="00B622CD"/>
    <w:rsid w:val="00B64518"/>
    <w:rsid w:val="00B67E3F"/>
    <w:rsid w:val="00B77E8F"/>
    <w:rsid w:val="00B86AB5"/>
    <w:rsid w:val="00B9271C"/>
    <w:rsid w:val="00B958A1"/>
    <w:rsid w:val="00BA30F7"/>
    <w:rsid w:val="00BA4E8D"/>
    <w:rsid w:val="00BB0203"/>
    <w:rsid w:val="00BB491C"/>
    <w:rsid w:val="00BC5D3C"/>
    <w:rsid w:val="00BD052C"/>
    <w:rsid w:val="00BD1BF7"/>
    <w:rsid w:val="00BD314E"/>
    <w:rsid w:val="00BD4A61"/>
    <w:rsid w:val="00BD599C"/>
    <w:rsid w:val="00BD5A08"/>
    <w:rsid w:val="00BD62BC"/>
    <w:rsid w:val="00BE5A88"/>
    <w:rsid w:val="00C01BCC"/>
    <w:rsid w:val="00C01FF4"/>
    <w:rsid w:val="00C10252"/>
    <w:rsid w:val="00C1115E"/>
    <w:rsid w:val="00C212DD"/>
    <w:rsid w:val="00C21E87"/>
    <w:rsid w:val="00C274FA"/>
    <w:rsid w:val="00C317FB"/>
    <w:rsid w:val="00C323C6"/>
    <w:rsid w:val="00C33106"/>
    <w:rsid w:val="00C5348F"/>
    <w:rsid w:val="00C60F46"/>
    <w:rsid w:val="00C645E2"/>
    <w:rsid w:val="00C66621"/>
    <w:rsid w:val="00C76EB9"/>
    <w:rsid w:val="00C81EF9"/>
    <w:rsid w:val="00C839DF"/>
    <w:rsid w:val="00C90303"/>
    <w:rsid w:val="00C91C27"/>
    <w:rsid w:val="00C96FA7"/>
    <w:rsid w:val="00CA70E9"/>
    <w:rsid w:val="00CB05C9"/>
    <w:rsid w:val="00CB0E39"/>
    <w:rsid w:val="00CB2C25"/>
    <w:rsid w:val="00CC1DA3"/>
    <w:rsid w:val="00CC2746"/>
    <w:rsid w:val="00CC3DD6"/>
    <w:rsid w:val="00CC6B4A"/>
    <w:rsid w:val="00CD1141"/>
    <w:rsid w:val="00CD3A40"/>
    <w:rsid w:val="00CD3C4C"/>
    <w:rsid w:val="00CD6EFD"/>
    <w:rsid w:val="00CE0FCA"/>
    <w:rsid w:val="00CF2693"/>
    <w:rsid w:val="00CF28F0"/>
    <w:rsid w:val="00CF40F7"/>
    <w:rsid w:val="00CF4F71"/>
    <w:rsid w:val="00D313B5"/>
    <w:rsid w:val="00D4088E"/>
    <w:rsid w:val="00D40CC6"/>
    <w:rsid w:val="00D43778"/>
    <w:rsid w:val="00D5278B"/>
    <w:rsid w:val="00D56796"/>
    <w:rsid w:val="00D603A1"/>
    <w:rsid w:val="00D62276"/>
    <w:rsid w:val="00D63A96"/>
    <w:rsid w:val="00D6763D"/>
    <w:rsid w:val="00D705D2"/>
    <w:rsid w:val="00D71BF5"/>
    <w:rsid w:val="00D85E1C"/>
    <w:rsid w:val="00D913A8"/>
    <w:rsid w:val="00D9273B"/>
    <w:rsid w:val="00D92EB7"/>
    <w:rsid w:val="00D936EF"/>
    <w:rsid w:val="00D96EB9"/>
    <w:rsid w:val="00DA7ED0"/>
    <w:rsid w:val="00DD2227"/>
    <w:rsid w:val="00DD2964"/>
    <w:rsid w:val="00DD30B6"/>
    <w:rsid w:val="00DE3D60"/>
    <w:rsid w:val="00DE5968"/>
    <w:rsid w:val="00DE67D3"/>
    <w:rsid w:val="00DE7903"/>
    <w:rsid w:val="00DF3757"/>
    <w:rsid w:val="00DF4149"/>
    <w:rsid w:val="00DF7B3A"/>
    <w:rsid w:val="00E11D2B"/>
    <w:rsid w:val="00E14D43"/>
    <w:rsid w:val="00E2071E"/>
    <w:rsid w:val="00E21D36"/>
    <w:rsid w:val="00E22A76"/>
    <w:rsid w:val="00E2377B"/>
    <w:rsid w:val="00E33308"/>
    <w:rsid w:val="00E33352"/>
    <w:rsid w:val="00E42B8C"/>
    <w:rsid w:val="00E43E82"/>
    <w:rsid w:val="00E55DBB"/>
    <w:rsid w:val="00E56616"/>
    <w:rsid w:val="00E609AB"/>
    <w:rsid w:val="00E61350"/>
    <w:rsid w:val="00E63D3D"/>
    <w:rsid w:val="00E67964"/>
    <w:rsid w:val="00E74959"/>
    <w:rsid w:val="00E77AE7"/>
    <w:rsid w:val="00E84E83"/>
    <w:rsid w:val="00E85119"/>
    <w:rsid w:val="00E92CB0"/>
    <w:rsid w:val="00E94567"/>
    <w:rsid w:val="00EA4D85"/>
    <w:rsid w:val="00EA719E"/>
    <w:rsid w:val="00EB1026"/>
    <w:rsid w:val="00EB2366"/>
    <w:rsid w:val="00EB2FD8"/>
    <w:rsid w:val="00EC27E5"/>
    <w:rsid w:val="00ED6A17"/>
    <w:rsid w:val="00ED70E3"/>
    <w:rsid w:val="00EE2913"/>
    <w:rsid w:val="00EE2DFE"/>
    <w:rsid w:val="00EF2015"/>
    <w:rsid w:val="00EF20A5"/>
    <w:rsid w:val="00F026A0"/>
    <w:rsid w:val="00F03144"/>
    <w:rsid w:val="00F05174"/>
    <w:rsid w:val="00F1017D"/>
    <w:rsid w:val="00F12049"/>
    <w:rsid w:val="00F30F9A"/>
    <w:rsid w:val="00F35098"/>
    <w:rsid w:val="00F4487B"/>
    <w:rsid w:val="00F515DC"/>
    <w:rsid w:val="00F53A9C"/>
    <w:rsid w:val="00F603B0"/>
    <w:rsid w:val="00F61C97"/>
    <w:rsid w:val="00F632CE"/>
    <w:rsid w:val="00F8118E"/>
    <w:rsid w:val="00F820B5"/>
    <w:rsid w:val="00F92BC1"/>
    <w:rsid w:val="00F95512"/>
    <w:rsid w:val="00F96675"/>
    <w:rsid w:val="00FA6A59"/>
    <w:rsid w:val="00FB67A3"/>
    <w:rsid w:val="00FC3246"/>
    <w:rsid w:val="00FC36BF"/>
    <w:rsid w:val="00FC3BE2"/>
    <w:rsid w:val="00FD5722"/>
    <w:rsid w:val="00FE33E5"/>
    <w:rsid w:val="00FF0331"/>
    <w:rsid w:val="00FF139B"/>
    <w:rsid w:val="00FF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3F"/>
    <w:pPr>
      <w:jc w:val="both"/>
    </w:pPr>
    <w:rPr>
      <w:rFonts w:ascii="Franklin Gothic Book" w:eastAsia="Times New Roman" w:hAnsi="Franklin Gothic Book"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3E3F"/>
    <w:pPr>
      <w:keepLines/>
      <w:tabs>
        <w:tab w:val="center" w:pos="4320"/>
        <w:tab w:val="right" w:pos="9480"/>
      </w:tabs>
      <w:spacing w:before="600" w:after="0"/>
      <w:ind w:left="-840" w:right="-840"/>
      <w:jc w:val="center"/>
    </w:pPr>
    <w:rPr>
      <w:caps/>
      <w:spacing w:val="15"/>
      <w:sz w:val="24"/>
    </w:rPr>
  </w:style>
  <w:style w:type="character" w:customStyle="1" w:styleId="FooterChar">
    <w:name w:val="Footer Char"/>
    <w:basedOn w:val="DefaultParagraphFont"/>
    <w:link w:val="Footer"/>
    <w:uiPriority w:val="99"/>
    <w:rsid w:val="00AC3E3F"/>
    <w:rPr>
      <w:rFonts w:ascii="Franklin Gothic Book" w:eastAsia="Times New Roman" w:hAnsi="Franklin Gothic Book" w:cs="Times New Roman"/>
      <w:caps/>
      <w:spacing w:val="15"/>
      <w:sz w:val="24"/>
      <w:szCs w:val="20"/>
      <w:lang w:bidi="en-US"/>
    </w:rPr>
  </w:style>
  <w:style w:type="paragraph" w:styleId="Header">
    <w:name w:val="header"/>
    <w:basedOn w:val="Normal"/>
    <w:link w:val="HeaderChar"/>
    <w:uiPriority w:val="99"/>
    <w:rsid w:val="00AC3E3F"/>
    <w:pPr>
      <w:keepLines/>
      <w:tabs>
        <w:tab w:val="center" w:pos="4320"/>
        <w:tab w:val="right" w:pos="8640"/>
      </w:tabs>
      <w:spacing w:after="480"/>
      <w:jc w:val="center"/>
    </w:pPr>
    <w:rPr>
      <w:caps/>
      <w:spacing w:val="15"/>
      <w:sz w:val="18"/>
    </w:rPr>
  </w:style>
  <w:style w:type="character" w:customStyle="1" w:styleId="HeaderChar">
    <w:name w:val="Header Char"/>
    <w:basedOn w:val="DefaultParagraphFont"/>
    <w:link w:val="Header"/>
    <w:uiPriority w:val="99"/>
    <w:rsid w:val="00AC3E3F"/>
    <w:rPr>
      <w:rFonts w:ascii="Franklin Gothic Book" w:eastAsia="Times New Roman" w:hAnsi="Franklin Gothic Book" w:cs="Times New Roman"/>
      <w:caps/>
      <w:spacing w:val="15"/>
      <w:sz w:val="18"/>
      <w:szCs w:val="20"/>
      <w:lang w:bidi="en-US"/>
    </w:rPr>
  </w:style>
  <w:style w:type="character" w:styleId="PageNumber">
    <w:name w:val="page number"/>
    <w:rsid w:val="00AC3E3F"/>
    <w:rPr>
      <w:sz w:val="24"/>
    </w:rPr>
  </w:style>
  <w:style w:type="table" w:customStyle="1" w:styleId="LightList-Accent11">
    <w:name w:val="Light List - Accent 11"/>
    <w:basedOn w:val="TableNormal"/>
    <w:next w:val="LightList-Accent1"/>
    <w:uiPriority w:val="61"/>
    <w:rsid w:val="00AC3E3F"/>
    <w:pPr>
      <w:spacing w:after="0" w:line="240" w:lineRule="auto"/>
    </w:pPr>
    <w:rPr>
      <w:rFonts w:ascii="Calibri" w:eastAsia="Times New Roman"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AC3E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ellHeader2-Tina">
    <w:name w:val="Table Cell Header 2 - Tina"/>
    <w:basedOn w:val="Normal"/>
    <w:link w:val="TableCellHeader2-TinaChar"/>
    <w:autoRedefine/>
    <w:qFormat/>
    <w:rsid w:val="0010574D"/>
    <w:pPr>
      <w:tabs>
        <w:tab w:val="right" w:pos="9124"/>
      </w:tabs>
      <w:spacing w:after="120" w:line="240" w:lineRule="auto"/>
    </w:pPr>
    <w:rPr>
      <w:rFonts w:ascii="Arial" w:hAnsi="Arial" w:cs="Arial"/>
      <w:b/>
      <w:bCs/>
      <w:lang w:bidi="ar-SA"/>
    </w:rPr>
  </w:style>
  <w:style w:type="character" w:customStyle="1" w:styleId="TableCellHeader2-TinaChar">
    <w:name w:val="Table Cell Header 2 - Tina Char"/>
    <w:basedOn w:val="DefaultParagraphFont"/>
    <w:link w:val="TableCellHeader2-Tina"/>
    <w:rsid w:val="0010574D"/>
    <w:rPr>
      <w:rFonts w:ascii="Arial" w:eastAsia="Times New Roman" w:hAnsi="Arial" w:cs="Arial"/>
      <w:b/>
      <w:bCs/>
      <w:sz w:val="20"/>
      <w:szCs w:val="20"/>
    </w:rPr>
  </w:style>
  <w:style w:type="paragraph" w:styleId="ListParagraph">
    <w:name w:val="List Paragraph"/>
    <w:basedOn w:val="Normal"/>
    <w:uiPriority w:val="34"/>
    <w:qFormat/>
    <w:rsid w:val="00BA30F7"/>
    <w:pPr>
      <w:spacing w:after="160" w:line="259" w:lineRule="auto"/>
      <w:ind w:left="720"/>
      <w:contextualSpacing/>
      <w:jc w:val="left"/>
    </w:pPr>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2379D"/>
    <w:rPr>
      <w:sz w:val="16"/>
      <w:szCs w:val="16"/>
    </w:rPr>
  </w:style>
  <w:style w:type="paragraph" w:styleId="CommentText">
    <w:name w:val="annotation text"/>
    <w:basedOn w:val="Normal"/>
    <w:link w:val="CommentTextChar"/>
    <w:uiPriority w:val="99"/>
    <w:semiHidden/>
    <w:unhideWhenUsed/>
    <w:rsid w:val="0022379D"/>
    <w:pPr>
      <w:spacing w:line="240" w:lineRule="auto"/>
    </w:pPr>
  </w:style>
  <w:style w:type="character" w:customStyle="1" w:styleId="CommentTextChar">
    <w:name w:val="Comment Text Char"/>
    <w:basedOn w:val="DefaultParagraphFont"/>
    <w:link w:val="CommentText"/>
    <w:uiPriority w:val="99"/>
    <w:semiHidden/>
    <w:rsid w:val="0022379D"/>
    <w:rPr>
      <w:rFonts w:ascii="Franklin Gothic Book" w:eastAsia="Times New Roman" w:hAnsi="Franklin Gothic Book"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2379D"/>
    <w:rPr>
      <w:b/>
      <w:bCs/>
    </w:rPr>
  </w:style>
  <w:style w:type="character" w:customStyle="1" w:styleId="CommentSubjectChar">
    <w:name w:val="Comment Subject Char"/>
    <w:basedOn w:val="CommentTextChar"/>
    <w:link w:val="CommentSubject"/>
    <w:uiPriority w:val="99"/>
    <w:semiHidden/>
    <w:rsid w:val="0022379D"/>
    <w:rPr>
      <w:rFonts w:ascii="Franklin Gothic Book" w:eastAsia="Times New Roman" w:hAnsi="Franklin Gothic Book" w:cs="Times New Roman"/>
      <w:b/>
      <w:bCs/>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3F"/>
    <w:pPr>
      <w:jc w:val="both"/>
    </w:pPr>
    <w:rPr>
      <w:rFonts w:ascii="Franklin Gothic Book" w:eastAsia="Times New Roman" w:hAnsi="Franklin Gothic Book"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3E3F"/>
    <w:pPr>
      <w:keepLines/>
      <w:tabs>
        <w:tab w:val="center" w:pos="4320"/>
        <w:tab w:val="right" w:pos="9480"/>
      </w:tabs>
      <w:spacing w:before="600" w:after="0"/>
      <w:ind w:left="-840" w:right="-840"/>
      <w:jc w:val="center"/>
    </w:pPr>
    <w:rPr>
      <w:caps/>
      <w:spacing w:val="15"/>
      <w:sz w:val="24"/>
    </w:rPr>
  </w:style>
  <w:style w:type="character" w:customStyle="1" w:styleId="FooterChar">
    <w:name w:val="Footer Char"/>
    <w:basedOn w:val="DefaultParagraphFont"/>
    <w:link w:val="Footer"/>
    <w:uiPriority w:val="99"/>
    <w:rsid w:val="00AC3E3F"/>
    <w:rPr>
      <w:rFonts w:ascii="Franklin Gothic Book" w:eastAsia="Times New Roman" w:hAnsi="Franklin Gothic Book" w:cs="Times New Roman"/>
      <w:caps/>
      <w:spacing w:val="15"/>
      <w:sz w:val="24"/>
      <w:szCs w:val="20"/>
      <w:lang w:bidi="en-US"/>
    </w:rPr>
  </w:style>
  <w:style w:type="paragraph" w:styleId="Header">
    <w:name w:val="header"/>
    <w:basedOn w:val="Normal"/>
    <w:link w:val="HeaderChar"/>
    <w:uiPriority w:val="99"/>
    <w:rsid w:val="00AC3E3F"/>
    <w:pPr>
      <w:keepLines/>
      <w:tabs>
        <w:tab w:val="center" w:pos="4320"/>
        <w:tab w:val="right" w:pos="8640"/>
      </w:tabs>
      <w:spacing w:after="480"/>
      <w:jc w:val="center"/>
    </w:pPr>
    <w:rPr>
      <w:caps/>
      <w:spacing w:val="15"/>
      <w:sz w:val="18"/>
    </w:rPr>
  </w:style>
  <w:style w:type="character" w:customStyle="1" w:styleId="HeaderChar">
    <w:name w:val="Header Char"/>
    <w:basedOn w:val="DefaultParagraphFont"/>
    <w:link w:val="Header"/>
    <w:uiPriority w:val="99"/>
    <w:rsid w:val="00AC3E3F"/>
    <w:rPr>
      <w:rFonts w:ascii="Franklin Gothic Book" w:eastAsia="Times New Roman" w:hAnsi="Franklin Gothic Book" w:cs="Times New Roman"/>
      <w:caps/>
      <w:spacing w:val="15"/>
      <w:sz w:val="18"/>
      <w:szCs w:val="20"/>
      <w:lang w:bidi="en-US"/>
    </w:rPr>
  </w:style>
  <w:style w:type="character" w:styleId="PageNumber">
    <w:name w:val="page number"/>
    <w:rsid w:val="00AC3E3F"/>
    <w:rPr>
      <w:sz w:val="24"/>
    </w:rPr>
  </w:style>
  <w:style w:type="table" w:customStyle="1" w:styleId="LightList-Accent11">
    <w:name w:val="Light List - Accent 11"/>
    <w:basedOn w:val="TableNormal"/>
    <w:next w:val="LightList-Accent1"/>
    <w:uiPriority w:val="61"/>
    <w:rsid w:val="00AC3E3F"/>
    <w:pPr>
      <w:spacing w:after="0" w:line="240" w:lineRule="auto"/>
    </w:pPr>
    <w:rPr>
      <w:rFonts w:ascii="Calibri" w:eastAsia="Times New Roman"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AC3E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ellHeader2-Tina">
    <w:name w:val="Table Cell Header 2 - Tina"/>
    <w:basedOn w:val="Normal"/>
    <w:link w:val="TableCellHeader2-TinaChar"/>
    <w:autoRedefine/>
    <w:qFormat/>
    <w:rsid w:val="0010574D"/>
    <w:pPr>
      <w:tabs>
        <w:tab w:val="right" w:pos="9124"/>
      </w:tabs>
      <w:spacing w:after="120" w:line="240" w:lineRule="auto"/>
    </w:pPr>
    <w:rPr>
      <w:rFonts w:ascii="Arial" w:hAnsi="Arial" w:cs="Arial"/>
      <w:b/>
      <w:bCs/>
      <w:lang w:bidi="ar-SA"/>
    </w:rPr>
  </w:style>
  <w:style w:type="character" w:customStyle="1" w:styleId="TableCellHeader2-TinaChar">
    <w:name w:val="Table Cell Header 2 - Tina Char"/>
    <w:basedOn w:val="DefaultParagraphFont"/>
    <w:link w:val="TableCellHeader2-Tina"/>
    <w:rsid w:val="0010574D"/>
    <w:rPr>
      <w:rFonts w:ascii="Arial" w:eastAsia="Times New Roman" w:hAnsi="Arial" w:cs="Arial"/>
      <w:b/>
      <w:bCs/>
      <w:sz w:val="20"/>
      <w:szCs w:val="20"/>
    </w:rPr>
  </w:style>
  <w:style w:type="paragraph" w:styleId="ListParagraph">
    <w:name w:val="List Paragraph"/>
    <w:basedOn w:val="Normal"/>
    <w:uiPriority w:val="34"/>
    <w:qFormat/>
    <w:rsid w:val="00BA30F7"/>
    <w:pPr>
      <w:spacing w:after="160" w:line="259" w:lineRule="auto"/>
      <w:ind w:left="720"/>
      <w:contextualSpacing/>
      <w:jc w:val="left"/>
    </w:pPr>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2379D"/>
    <w:rPr>
      <w:sz w:val="16"/>
      <w:szCs w:val="16"/>
    </w:rPr>
  </w:style>
  <w:style w:type="paragraph" w:styleId="CommentText">
    <w:name w:val="annotation text"/>
    <w:basedOn w:val="Normal"/>
    <w:link w:val="CommentTextChar"/>
    <w:uiPriority w:val="99"/>
    <w:semiHidden/>
    <w:unhideWhenUsed/>
    <w:rsid w:val="0022379D"/>
    <w:pPr>
      <w:spacing w:line="240" w:lineRule="auto"/>
    </w:pPr>
  </w:style>
  <w:style w:type="character" w:customStyle="1" w:styleId="CommentTextChar">
    <w:name w:val="Comment Text Char"/>
    <w:basedOn w:val="DefaultParagraphFont"/>
    <w:link w:val="CommentText"/>
    <w:uiPriority w:val="99"/>
    <w:semiHidden/>
    <w:rsid w:val="0022379D"/>
    <w:rPr>
      <w:rFonts w:ascii="Franklin Gothic Book" w:eastAsia="Times New Roman" w:hAnsi="Franklin Gothic Book"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2379D"/>
    <w:rPr>
      <w:b/>
      <w:bCs/>
    </w:rPr>
  </w:style>
  <w:style w:type="character" w:customStyle="1" w:styleId="CommentSubjectChar">
    <w:name w:val="Comment Subject Char"/>
    <w:basedOn w:val="CommentTextChar"/>
    <w:link w:val="CommentSubject"/>
    <w:uiPriority w:val="99"/>
    <w:semiHidden/>
    <w:rsid w:val="0022379D"/>
    <w:rPr>
      <w:rFonts w:ascii="Franklin Gothic Book" w:eastAsia="Times New Roman" w:hAnsi="Franklin Gothic Book"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4089">
      <w:bodyDiv w:val="1"/>
      <w:marLeft w:val="0"/>
      <w:marRight w:val="0"/>
      <w:marTop w:val="0"/>
      <w:marBottom w:val="0"/>
      <w:divBdr>
        <w:top w:val="none" w:sz="0" w:space="0" w:color="auto"/>
        <w:left w:val="none" w:sz="0" w:space="0" w:color="auto"/>
        <w:bottom w:val="none" w:sz="0" w:space="0" w:color="auto"/>
        <w:right w:val="none" w:sz="0" w:space="0" w:color="auto"/>
      </w:divBdr>
    </w:div>
    <w:div w:id="1190143009">
      <w:bodyDiv w:val="1"/>
      <w:marLeft w:val="0"/>
      <w:marRight w:val="0"/>
      <w:marTop w:val="0"/>
      <w:marBottom w:val="0"/>
      <w:divBdr>
        <w:top w:val="none" w:sz="0" w:space="0" w:color="auto"/>
        <w:left w:val="none" w:sz="0" w:space="0" w:color="auto"/>
        <w:bottom w:val="none" w:sz="0" w:space="0" w:color="auto"/>
        <w:right w:val="none" w:sz="0" w:space="0" w:color="auto"/>
      </w:divBdr>
    </w:div>
    <w:div w:id="1438909595">
      <w:bodyDiv w:val="1"/>
      <w:marLeft w:val="0"/>
      <w:marRight w:val="0"/>
      <w:marTop w:val="0"/>
      <w:marBottom w:val="0"/>
      <w:divBdr>
        <w:top w:val="none" w:sz="0" w:space="0" w:color="auto"/>
        <w:left w:val="none" w:sz="0" w:space="0" w:color="auto"/>
        <w:bottom w:val="none" w:sz="0" w:space="0" w:color="auto"/>
        <w:right w:val="none" w:sz="0" w:space="0" w:color="auto"/>
      </w:divBdr>
    </w:div>
    <w:div w:id="1818649445">
      <w:bodyDiv w:val="1"/>
      <w:marLeft w:val="0"/>
      <w:marRight w:val="0"/>
      <w:marTop w:val="0"/>
      <w:marBottom w:val="0"/>
      <w:divBdr>
        <w:top w:val="none" w:sz="0" w:space="0" w:color="auto"/>
        <w:left w:val="none" w:sz="0" w:space="0" w:color="auto"/>
        <w:bottom w:val="none" w:sz="0" w:space="0" w:color="auto"/>
        <w:right w:val="none" w:sz="0" w:space="0" w:color="auto"/>
      </w:divBdr>
    </w:div>
    <w:div w:id="21020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A0EB-63E4-D745-83AB-FB9224CE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2550</Words>
  <Characters>14537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Jay Rhoderick</cp:lastModifiedBy>
  <cp:revision>2</cp:revision>
  <cp:lastPrinted>2017-07-25T15:03:00Z</cp:lastPrinted>
  <dcterms:created xsi:type="dcterms:W3CDTF">2020-02-11T14:53:00Z</dcterms:created>
  <dcterms:modified xsi:type="dcterms:W3CDTF">2020-02-11T14:53:00Z</dcterms:modified>
</cp:coreProperties>
</file>