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C5" w:rsidRPr="00702006" w:rsidRDefault="007F2BC5" w:rsidP="00C55D3B">
      <w:pPr>
        <w:spacing w:after="0"/>
        <w:jc w:val="center"/>
        <w:rPr>
          <w:rFonts w:ascii="Arial" w:hAnsi="Arial" w:cs="Arial"/>
          <w:b/>
          <w:sz w:val="28"/>
          <w:szCs w:val="28"/>
        </w:rPr>
      </w:pPr>
      <w:bookmarkStart w:id="0" w:name="_GoBack"/>
      <w:bookmarkEnd w:id="0"/>
      <w:r w:rsidRPr="00702006">
        <w:rPr>
          <w:rFonts w:ascii="Arial" w:hAnsi="Arial" w:cs="Arial"/>
          <w:b/>
          <w:sz w:val="28"/>
          <w:szCs w:val="28"/>
        </w:rPr>
        <w:t xml:space="preserve">Energy Facility Contractors Group </w:t>
      </w:r>
    </w:p>
    <w:p w:rsidR="007F2BC5" w:rsidRPr="00702006" w:rsidRDefault="007F2BC5" w:rsidP="00C55D3B">
      <w:pPr>
        <w:spacing w:after="0"/>
        <w:jc w:val="center"/>
        <w:rPr>
          <w:rFonts w:ascii="Arial" w:hAnsi="Arial" w:cs="Arial"/>
          <w:b/>
          <w:sz w:val="28"/>
          <w:szCs w:val="28"/>
        </w:rPr>
      </w:pPr>
      <w:r w:rsidRPr="00702006">
        <w:rPr>
          <w:rFonts w:ascii="Arial" w:hAnsi="Arial" w:cs="Arial"/>
          <w:b/>
          <w:sz w:val="28"/>
          <w:szCs w:val="28"/>
        </w:rPr>
        <w:t xml:space="preserve">Project Delivery Working Group </w:t>
      </w:r>
    </w:p>
    <w:p w:rsidR="00C55D3B" w:rsidRPr="00702006" w:rsidRDefault="007F2BC5" w:rsidP="00C55D3B">
      <w:pPr>
        <w:spacing w:after="0"/>
        <w:jc w:val="center"/>
        <w:rPr>
          <w:rFonts w:ascii="Arial" w:hAnsi="Arial" w:cs="Arial"/>
          <w:sz w:val="28"/>
          <w:szCs w:val="28"/>
        </w:rPr>
      </w:pPr>
      <w:r w:rsidRPr="00702006">
        <w:rPr>
          <w:rFonts w:ascii="Arial" w:hAnsi="Arial" w:cs="Arial"/>
          <w:b/>
          <w:sz w:val="28"/>
          <w:szCs w:val="28"/>
        </w:rPr>
        <w:t>FY2016</w:t>
      </w:r>
      <w:r w:rsidR="00C55D3B" w:rsidRPr="00702006">
        <w:rPr>
          <w:rFonts w:ascii="Arial" w:hAnsi="Arial" w:cs="Arial"/>
          <w:b/>
          <w:sz w:val="28"/>
          <w:szCs w:val="28"/>
        </w:rPr>
        <w:t xml:space="preserve"> Annual Work Plan</w:t>
      </w:r>
    </w:p>
    <w:p w:rsidR="00C55D3B" w:rsidRDefault="00BF5B9D" w:rsidP="00C55D3B">
      <w:pPr>
        <w:spacing w:after="0"/>
        <w:jc w:val="center"/>
      </w:pPr>
      <w:r>
        <w:t xml:space="preserve"> </w:t>
      </w:r>
    </w:p>
    <w:p w:rsidR="00627E21" w:rsidRPr="00627E21" w:rsidRDefault="00627E21" w:rsidP="00B164C5">
      <w:pPr>
        <w:rPr>
          <w:u w:val="single"/>
        </w:rPr>
      </w:pPr>
    </w:p>
    <w:p w:rsidR="00702006" w:rsidRPr="00027036" w:rsidRDefault="00702006" w:rsidP="00702006">
      <w:pPr>
        <w:spacing w:after="0" w:line="240" w:lineRule="auto"/>
        <w:rPr>
          <w:rFonts w:ascii="Arial" w:hAnsi="Arial" w:cs="Arial"/>
          <w:b/>
          <w:sz w:val="20"/>
          <w:szCs w:val="20"/>
        </w:rPr>
      </w:pPr>
      <w:r w:rsidRPr="00027036">
        <w:rPr>
          <w:rFonts w:ascii="Arial" w:hAnsi="Arial" w:cs="Arial"/>
          <w:b/>
          <w:sz w:val="20"/>
          <w:szCs w:val="20"/>
        </w:rPr>
        <w:t>MISSION AND SCOPE</w:t>
      </w:r>
    </w:p>
    <w:p w:rsidR="00702006" w:rsidRPr="00027036" w:rsidRDefault="00702006" w:rsidP="00702006">
      <w:pPr>
        <w:spacing w:after="0" w:line="240" w:lineRule="auto"/>
        <w:rPr>
          <w:rFonts w:ascii="Arial" w:hAnsi="Arial" w:cs="Arial"/>
          <w:sz w:val="20"/>
          <w:szCs w:val="20"/>
        </w:rPr>
      </w:pPr>
    </w:p>
    <w:p w:rsidR="00702006" w:rsidRPr="00027036" w:rsidRDefault="00702006" w:rsidP="00702006">
      <w:pPr>
        <w:spacing w:after="0" w:line="240" w:lineRule="auto"/>
        <w:rPr>
          <w:rFonts w:ascii="Arial" w:hAnsi="Arial" w:cs="Arial"/>
          <w:sz w:val="20"/>
          <w:szCs w:val="20"/>
        </w:rPr>
      </w:pPr>
      <w:r w:rsidRPr="00027036">
        <w:rPr>
          <w:rFonts w:ascii="Arial" w:hAnsi="Arial" w:cs="Arial"/>
          <w:sz w:val="20"/>
          <w:szCs w:val="20"/>
        </w:rPr>
        <w:t>The Energy Facility Contractors Group (EFCOG) Project Delivery Working Group (PDWG) is chartered to leverage the expertise and experience of U.S. Department of Energy contractors to address challenges and achieve improvements in project delivery across the DOE complex.  The PDWG’s purpose is to seek out, promote and share the best practices and processes for successful project delivery at DOE facilities.  This will be achieved through contractor subject matter experts and professionals from across the DOE complex working together</w:t>
      </w:r>
      <w:r w:rsidR="00A14FDA">
        <w:rPr>
          <w:rFonts w:ascii="Arial" w:hAnsi="Arial" w:cs="Arial"/>
          <w:sz w:val="20"/>
          <w:szCs w:val="20"/>
        </w:rPr>
        <w:t>,</w:t>
      </w:r>
      <w:r w:rsidRPr="00027036">
        <w:rPr>
          <w:rFonts w:ascii="Arial" w:hAnsi="Arial" w:cs="Arial"/>
          <w:sz w:val="20"/>
          <w:szCs w:val="20"/>
        </w:rPr>
        <w:t xml:space="preserve"> and in partnership with DOE</w:t>
      </w:r>
      <w:r w:rsidR="00A14FDA">
        <w:rPr>
          <w:rFonts w:ascii="Arial" w:hAnsi="Arial" w:cs="Arial"/>
          <w:sz w:val="20"/>
          <w:szCs w:val="20"/>
        </w:rPr>
        <w:t>,</w:t>
      </w:r>
      <w:r w:rsidRPr="00027036">
        <w:rPr>
          <w:rFonts w:ascii="Arial" w:hAnsi="Arial" w:cs="Arial"/>
          <w:sz w:val="20"/>
          <w:szCs w:val="20"/>
        </w:rPr>
        <w:t xml:space="preserve"> to strengthen and advance the development, management and delivery of projects (and project-like activities) in support of DOE missions.  The </w:t>
      </w:r>
      <w:r w:rsidR="00CE3EE7">
        <w:rPr>
          <w:rFonts w:ascii="Arial" w:hAnsi="Arial" w:cs="Arial"/>
          <w:sz w:val="20"/>
          <w:szCs w:val="20"/>
        </w:rPr>
        <w:t>PDWG</w:t>
      </w:r>
      <w:r w:rsidRPr="00027036">
        <w:rPr>
          <w:rFonts w:ascii="Arial" w:hAnsi="Arial" w:cs="Arial"/>
          <w:sz w:val="20"/>
          <w:szCs w:val="20"/>
        </w:rPr>
        <w:t xml:space="preserve"> portfolio includes those broad-based, interrelated elements across the project lifecycle critical to successful delivery.  Areas of focus</w:t>
      </w:r>
      <w:r w:rsidR="0021374E">
        <w:rPr>
          <w:rFonts w:ascii="Arial" w:hAnsi="Arial" w:cs="Arial"/>
          <w:sz w:val="20"/>
          <w:szCs w:val="20"/>
        </w:rPr>
        <w:t xml:space="preserve"> and collaboration</w:t>
      </w:r>
      <w:r w:rsidRPr="00027036">
        <w:rPr>
          <w:rFonts w:ascii="Arial" w:hAnsi="Arial" w:cs="Arial"/>
          <w:sz w:val="20"/>
          <w:szCs w:val="20"/>
        </w:rPr>
        <w:t xml:space="preserve"> include:</w:t>
      </w:r>
    </w:p>
    <w:p w:rsidR="00702006" w:rsidRPr="00027036" w:rsidRDefault="00702006" w:rsidP="00702006">
      <w:pPr>
        <w:spacing w:after="0" w:line="240" w:lineRule="auto"/>
        <w:rPr>
          <w:rFonts w:ascii="Arial" w:hAnsi="Arial" w:cs="Arial"/>
          <w:sz w:val="20"/>
          <w:szCs w:val="20"/>
        </w:rPr>
      </w:pPr>
    </w:p>
    <w:p w:rsidR="00702006" w:rsidRPr="00E018AC" w:rsidRDefault="003868EE" w:rsidP="00702006">
      <w:pPr>
        <w:numPr>
          <w:ilvl w:val="0"/>
          <w:numId w:val="7"/>
        </w:numPr>
        <w:spacing w:after="0" w:line="240" w:lineRule="auto"/>
        <w:rPr>
          <w:rFonts w:ascii="Arial" w:hAnsi="Arial" w:cs="Arial"/>
          <w:sz w:val="20"/>
          <w:szCs w:val="20"/>
        </w:rPr>
      </w:pPr>
      <w:r>
        <w:rPr>
          <w:rFonts w:ascii="Arial" w:hAnsi="Arial" w:cs="Arial"/>
          <w:sz w:val="20"/>
          <w:szCs w:val="20"/>
        </w:rPr>
        <w:t>P</w:t>
      </w:r>
      <w:r w:rsidR="00702006" w:rsidRPr="00027036">
        <w:rPr>
          <w:rFonts w:ascii="Arial" w:hAnsi="Arial" w:cs="Arial"/>
          <w:sz w:val="20"/>
          <w:szCs w:val="20"/>
        </w:rPr>
        <w:t>roject</w:t>
      </w:r>
      <w:r w:rsidR="00E018AC">
        <w:rPr>
          <w:rFonts w:ascii="Arial" w:hAnsi="Arial" w:cs="Arial"/>
          <w:sz w:val="20"/>
          <w:szCs w:val="20"/>
        </w:rPr>
        <w:t xml:space="preserve"> </w:t>
      </w:r>
      <w:r w:rsidR="003227F8">
        <w:rPr>
          <w:rFonts w:ascii="Arial" w:hAnsi="Arial" w:cs="Arial"/>
          <w:sz w:val="20"/>
          <w:szCs w:val="20"/>
        </w:rPr>
        <w:t xml:space="preserve">and </w:t>
      </w:r>
      <w:r w:rsidR="00702006" w:rsidRPr="00E018AC">
        <w:rPr>
          <w:rFonts w:ascii="Arial" w:hAnsi="Arial" w:cs="Arial"/>
          <w:sz w:val="20"/>
          <w:szCs w:val="20"/>
        </w:rPr>
        <w:t>Earned Value Management</w:t>
      </w:r>
    </w:p>
    <w:p w:rsidR="00E018AC" w:rsidRPr="00E018AC" w:rsidRDefault="004B2D95" w:rsidP="00702006">
      <w:pPr>
        <w:numPr>
          <w:ilvl w:val="0"/>
          <w:numId w:val="7"/>
        </w:numPr>
        <w:spacing w:after="0" w:line="240" w:lineRule="auto"/>
        <w:rPr>
          <w:rFonts w:ascii="Arial" w:hAnsi="Arial" w:cs="Arial"/>
          <w:sz w:val="20"/>
          <w:szCs w:val="20"/>
        </w:rPr>
      </w:pPr>
      <w:r>
        <w:rPr>
          <w:rFonts w:ascii="Arial" w:hAnsi="Arial" w:cs="Arial"/>
          <w:sz w:val="20"/>
          <w:szCs w:val="20"/>
        </w:rPr>
        <w:t xml:space="preserve">Cost Estimating </w:t>
      </w:r>
    </w:p>
    <w:p w:rsidR="00702006" w:rsidRPr="00E018AC" w:rsidRDefault="004B2D95" w:rsidP="00702006">
      <w:pPr>
        <w:numPr>
          <w:ilvl w:val="0"/>
          <w:numId w:val="7"/>
        </w:numPr>
        <w:spacing w:after="0" w:line="240" w:lineRule="auto"/>
        <w:rPr>
          <w:rFonts w:ascii="Arial" w:hAnsi="Arial" w:cs="Arial"/>
          <w:sz w:val="20"/>
          <w:szCs w:val="20"/>
        </w:rPr>
      </w:pPr>
      <w:r>
        <w:rPr>
          <w:rFonts w:ascii="Arial" w:hAnsi="Arial" w:cs="Arial"/>
          <w:sz w:val="20"/>
          <w:szCs w:val="20"/>
        </w:rPr>
        <w:t>Scheduling</w:t>
      </w:r>
    </w:p>
    <w:p w:rsidR="00702006" w:rsidRDefault="004B2D95" w:rsidP="00702006">
      <w:pPr>
        <w:numPr>
          <w:ilvl w:val="0"/>
          <w:numId w:val="7"/>
        </w:numPr>
        <w:spacing w:after="0" w:line="240" w:lineRule="auto"/>
        <w:rPr>
          <w:rFonts w:ascii="Arial" w:hAnsi="Arial" w:cs="Arial"/>
          <w:sz w:val="20"/>
          <w:szCs w:val="20"/>
        </w:rPr>
      </w:pPr>
      <w:r>
        <w:rPr>
          <w:rFonts w:ascii="Arial" w:hAnsi="Arial" w:cs="Arial"/>
          <w:sz w:val="20"/>
          <w:szCs w:val="20"/>
        </w:rPr>
        <w:t>Acquis</w:t>
      </w:r>
      <w:r w:rsidR="00702006" w:rsidRPr="00027036">
        <w:rPr>
          <w:rFonts w:ascii="Arial" w:hAnsi="Arial" w:cs="Arial"/>
          <w:sz w:val="20"/>
          <w:szCs w:val="20"/>
        </w:rPr>
        <w:t xml:space="preserve">ition strategy </w:t>
      </w:r>
    </w:p>
    <w:p w:rsidR="00702006" w:rsidRDefault="00702006" w:rsidP="00702006">
      <w:pPr>
        <w:numPr>
          <w:ilvl w:val="0"/>
          <w:numId w:val="7"/>
        </w:numPr>
        <w:spacing w:after="0" w:line="240" w:lineRule="auto"/>
        <w:rPr>
          <w:rFonts w:ascii="Arial" w:hAnsi="Arial" w:cs="Arial"/>
          <w:sz w:val="20"/>
          <w:szCs w:val="20"/>
        </w:rPr>
      </w:pPr>
      <w:r w:rsidRPr="00027036">
        <w:rPr>
          <w:rFonts w:ascii="Arial" w:hAnsi="Arial" w:cs="Arial"/>
          <w:sz w:val="20"/>
          <w:szCs w:val="20"/>
        </w:rPr>
        <w:t>Contract alignment and incentives</w:t>
      </w:r>
    </w:p>
    <w:p w:rsidR="00722BD2" w:rsidRPr="00722BD2" w:rsidRDefault="00722BD2" w:rsidP="00722BD2">
      <w:pPr>
        <w:numPr>
          <w:ilvl w:val="0"/>
          <w:numId w:val="7"/>
        </w:numPr>
        <w:spacing w:after="0" w:line="240" w:lineRule="auto"/>
        <w:rPr>
          <w:rFonts w:ascii="Arial" w:hAnsi="Arial" w:cs="Arial"/>
          <w:sz w:val="20"/>
          <w:szCs w:val="20"/>
        </w:rPr>
      </w:pPr>
      <w:r w:rsidRPr="00A41EF5">
        <w:rPr>
          <w:rFonts w:ascii="Arial" w:hAnsi="Arial" w:cs="Arial"/>
          <w:sz w:val="20"/>
          <w:szCs w:val="20"/>
        </w:rPr>
        <w:t>Integration of safety into the design process and other technical processes</w:t>
      </w:r>
    </w:p>
    <w:p w:rsidR="00702006" w:rsidRPr="00027036" w:rsidRDefault="00702006" w:rsidP="00702006">
      <w:pPr>
        <w:numPr>
          <w:ilvl w:val="0"/>
          <w:numId w:val="7"/>
        </w:numPr>
        <w:spacing w:after="0" w:line="240" w:lineRule="auto"/>
        <w:rPr>
          <w:rFonts w:ascii="Arial" w:hAnsi="Arial" w:cs="Arial"/>
          <w:sz w:val="20"/>
          <w:szCs w:val="20"/>
        </w:rPr>
      </w:pPr>
      <w:r w:rsidRPr="00A41EF5">
        <w:rPr>
          <w:rFonts w:ascii="Arial" w:hAnsi="Arial" w:cs="Arial"/>
          <w:sz w:val="20"/>
          <w:szCs w:val="20"/>
        </w:rPr>
        <w:t>Engineering</w:t>
      </w:r>
    </w:p>
    <w:p w:rsidR="00702006" w:rsidRPr="00027036" w:rsidRDefault="00702006" w:rsidP="00702006">
      <w:pPr>
        <w:numPr>
          <w:ilvl w:val="0"/>
          <w:numId w:val="7"/>
        </w:numPr>
        <w:spacing w:after="0" w:line="240" w:lineRule="auto"/>
        <w:rPr>
          <w:rFonts w:ascii="Arial" w:hAnsi="Arial" w:cs="Arial"/>
          <w:sz w:val="20"/>
          <w:szCs w:val="20"/>
        </w:rPr>
      </w:pPr>
      <w:r>
        <w:rPr>
          <w:rFonts w:ascii="Arial" w:hAnsi="Arial" w:cs="Arial"/>
          <w:sz w:val="20"/>
          <w:szCs w:val="20"/>
        </w:rPr>
        <w:t>Start-up and c</w:t>
      </w:r>
      <w:r w:rsidRPr="00027036">
        <w:rPr>
          <w:rFonts w:ascii="Arial" w:hAnsi="Arial" w:cs="Arial"/>
          <w:sz w:val="20"/>
          <w:szCs w:val="20"/>
        </w:rPr>
        <w:t>ommissioning</w:t>
      </w:r>
    </w:p>
    <w:p w:rsidR="00702006" w:rsidRPr="00027036" w:rsidRDefault="00702006" w:rsidP="00702006">
      <w:pPr>
        <w:spacing w:after="0" w:line="240" w:lineRule="auto"/>
        <w:rPr>
          <w:rFonts w:ascii="Arial" w:hAnsi="Arial" w:cs="Arial"/>
          <w:sz w:val="20"/>
          <w:szCs w:val="20"/>
        </w:rPr>
      </w:pPr>
    </w:p>
    <w:p w:rsidR="00702006" w:rsidRPr="00027036" w:rsidRDefault="00702006" w:rsidP="00702006">
      <w:pPr>
        <w:spacing w:after="0" w:line="240" w:lineRule="auto"/>
        <w:rPr>
          <w:rFonts w:ascii="Arial" w:hAnsi="Arial" w:cs="Arial"/>
          <w:sz w:val="20"/>
          <w:szCs w:val="20"/>
        </w:rPr>
      </w:pPr>
      <w:r w:rsidRPr="00027036">
        <w:rPr>
          <w:rFonts w:ascii="Arial" w:hAnsi="Arial" w:cs="Arial"/>
          <w:sz w:val="20"/>
          <w:szCs w:val="20"/>
        </w:rPr>
        <w:t xml:space="preserve">The Working Group will focus on practical and effective solutions to complex-wide </w:t>
      </w:r>
      <w:r w:rsidR="00FD2FE6" w:rsidRPr="00027036">
        <w:rPr>
          <w:rFonts w:ascii="Arial" w:hAnsi="Arial" w:cs="Arial"/>
          <w:sz w:val="20"/>
          <w:szCs w:val="20"/>
        </w:rPr>
        <w:t>challenges;</w:t>
      </w:r>
      <w:r w:rsidRPr="00027036">
        <w:rPr>
          <w:rFonts w:ascii="Arial" w:hAnsi="Arial" w:cs="Arial"/>
          <w:sz w:val="20"/>
          <w:szCs w:val="20"/>
        </w:rPr>
        <w:t xml:space="preserve"> promote open communication and sharing of lessons learned and best practices, and leverage inter-site and inter-contractor solutions to achieve enterprise-wide improvement while supporting cost-effective and efficient solutions.  This will be achieved in a manner that maintains a priority on safety, compliance and cost-effectiveness.</w:t>
      </w:r>
    </w:p>
    <w:p w:rsidR="00702006" w:rsidRPr="00027036" w:rsidRDefault="00702006" w:rsidP="00702006">
      <w:pPr>
        <w:spacing w:after="0" w:line="240" w:lineRule="auto"/>
        <w:rPr>
          <w:rFonts w:ascii="Arial" w:hAnsi="Arial" w:cs="Arial"/>
          <w:sz w:val="20"/>
          <w:szCs w:val="20"/>
        </w:rPr>
      </w:pPr>
    </w:p>
    <w:p w:rsidR="0032110E" w:rsidRDefault="00702006" w:rsidP="00956FB3">
      <w:pPr>
        <w:spacing w:after="0" w:line="240" w:lineRule="auto"/>
        <w:rPr>
          <w:rFonts w:ascii="Arial" w:hAnsi="Arial" w:cs="Arial"/>
          <w:sz w:val="20"/>
          <w:szCs w:val="20"/>
        </w:rPr>
      </w:pPr>
      <w:r w:rsidRPr="00027036">
        <w:rPr>
          <w:rFonts w:ascii="Arial" w:hAnsi="Arial" w:cs="Arial"/>
          <w:sz w:val="20"/>
          <w:szCs w:val="20"/>
        </w:rPr>
        <w:t>In</w:t>
      </w:r>
      <w:r w:rsidR="00F779AF">
        <w:rPr>
          <w:rFonts w:ascii="Arial" w:hAnsi="Arial" w:cs="Arial"/>
          <w:sz w:val="20"/>
          <w:szCs w:val="20"/>
        </w:rPr>
        <w:t xml:space="preserve"> </w:t>
      </w:r>
      <w:r w:rsidR="0038391B">
        <w:rPr>
          <w:rFonts w:ascii="Arial" w:hAnsi="Arial" w:cs="Arial"/>
          <w:sz w:val="20"/>
          <w:szCs w:val="20"/>
        </w:rPr>
        <w:t>FY2015</w:t>
      </w:r>
      <w:r w:rsidRPr="00027036">
        <w:rPr>
          <w:rFonts w:ascii="Arial" w:hAnsi="Arial" w:cs="Arial"/>
          <w:sz w:val="20"/>
          <w:szCs w:val="20"/>
        </w:rPr>
        <w:t xml:space="preserve">, several existing EFCOG working groups were consolidated and streamlined to form the PDWG, including elements of the Project Management Working Group, the Engineering Practices Working Group, and the Business Management Working Group.  </w:t>
      </w:r>
      <w:r w:rsidR="009F0DAC">
        <w:rPr>
          <w:rFonts w:ascii="Arial" w:hAnsi="Arial" w:cs="Arial"/>
          <w:sz w:val="20"/>
          <w:szCs w:val="20"/>
        </w:rPr>
        <w:t>In</w:t>
      </w:r>
      <w:r w:rsidR="0038391B">
        <w:rPr>
          <w:rFonts w:ascii="Arial" w:hAnsi="Arial" w:cs="Arial"/>
          <w:sz w:val="20"/>
          <w:szCs w:val="20"/>
        </w:rPr>
        <w:t xml:space="preserve"> FY2016</w:t>
      </w:r>
      <w:r w:rsidR="009F0DAC">
        <w:rPr>
          <w:rFonts w:ascii="Arial" w:hAnsi="Arial" w:cs="Arial"/>
          <w:sz w:val="20"/>
          <w:szCs w:val="20"/>
        </w:rPr>
        <w:t xml:space="preserve"> </w:t>
      </w:r>
      <w:r w:rsidR="000138A1">
        <w:rPr>
          <w:rFonts w:ascii="Arial" w:hAnsi="Arial" w:cs="Arial"/>
          <w:sz w:val="20"/>
          <w:szCs w:val="20"/>
        </w:rPr>
        <w:t>t</w:t>
      </w:r>
      <w:r w:rsidR="009F0DAC">
        <w:rPr>
          <w:rFonts w:ascii="Arial" w:hAnsi="Arial" w:cs="Arial"/>
          <w:sz w:val="20"/>
          <w:szCs w:val="20"/>
        </w:rPr>
        <w:t xml:space="preserve">he PDWG </w:t>
      </w:r>
      <w:r w:rsidR="00443721">
        <w:rPr>
          <w:rFonts w:ascii="Arial" w:hAnsi="Arial" w:cs="Arial"/>
          <w:sz w:val="20"/>
          <w:szCs w:val="20"/>
        </w:rPr>
        <w:t>is</w:t>
      </w:r>
      <w:r w:rsidR="009F0DAC">
        <w:rPr>
          <w:rFonts w:ascii="Arial" w:hAnsi="Arial" w:cs="Arial"/>
          <w:sz w:val="20"/>
          <w:szCs w:val="20"/>
        </w:rPr>
        <w:t xml:space="preserve"> further streamlin</w:t>
      </w:r>
      <w:r w:rsidR="00443721">
        <w:rPr>
          <w:rFonts w:ascii="Arial" w:hAnsi="Arial" w:cs="Arial"/>
          <w:sz w:val="20"/>
          <w:szCs w:val="20"/>
        </w:rPr>
        <w:t>ing</w:t>
      </w:r>
      <w:r w:rsidR="009F0DAC">
        <w:rPr>
          <w:rFonts w:ascii="Arial" w:hAnsi="Arial" w:cs="Arial"/>
          <w:sz w:val="20"/>
          <w:szCs w:val="20"/>
        </w:rPr>
        <w:t xml:space="preserve"> its organization into </w:t>
      </w:r>
      <w:r w:rsidR="001D4397">
        <w:rPr>
          <w:rFonts w:ascii="Arial" w:hAnsi="Arial" w:cs="Arial"/>
          <w:sz w:val="20"/>
          <w:szCs w:val="20"/>
        </w:rPr>
        <w:t>two primary</w:t>
      </w:r>
      <w:r w:rsidR="009F0DAC">
        <w:rPr>
          <w:rFonts w:ascii="Arial" w:hAnsi="Arial" w:cs="Arial"/>
          <w:sz w:val="20"/>
          <w:szCs w:val="20"/>
        </w:rPr>
        <w:t xml:space="preserve"> </w:t>
      </w:r>
      <w:r w:rsidR="00305F3D">
        <w:rPr>
          <w:rFonts w:ascii="Arial" w:hAnsi="Arial" w:cs="Arial"/>
          <w:sz w:val="20"/>
          <w:szCs w:val="20"/>
        </w:rPr>
        <w:t>focus areas</w:t>
      </w:r>
      <w:r w:rsidR="00956FB3">
        <w:rPr>
          <w:rFonts w:ascii="Arial" w:hAnsi="Arial" w:cs="Arial"/>
          <w:sz w:val="20"/>
          <w:szCs w:val="20"/>
        </w:rPr>
        <w:t>:</w:t>
      </w:r>
      <w:r w:rsidR="00305F3D">
        <w:rPr>
          <w:rFonts w:ascii="Arial" w:hAnsi="Arial" w:cs="Arial"/>
          <w:sz w:val="20"/>
          <w:szCs w:val="20"/>
        </w:rPr>
        <w:t xml:space="preserve"> </w:t>
      </w:r>
      <w:r w:rsidR="009F0DAC">
        <w:rPr>
          <w:rFonts w:ascii="Arial" w:hAnsi="Arial" w:cs="Arial"/>
          <w:sz w:val="20"/>
          <w:szCs w:val="20"/>
        </w:rPr>
        <w:t>Project Management and Project Controls</w:t>
      </w:r>
      <w:r w:rsidR="00956FB3">
        <w:rPr>
          <w:rFonts w:ascii="Arial" w:hAnsi="Arial" w:cs="Arial"/>
          <w:sz w:val="20"/>
          <w:szCs w:val="20"/>
        </w:rPr>
        <w:t xml:space="preserve">. </w:t>
      </w:r>
      <w:r w:rsidR="00FD4A48">
        <w:rPr>
          <w:rFonts w:ascii="Arial" w:hAnsi="Arial" w:cs="Arial"/>
          <w:sz w:val="20"/>
          <w:szCs w:val="20"/>
        </w:rPr>
        <w:t>T</w:t>
      </w:r>
      <w:r w:rsidR="003877F9">
        <w:rPr>
          <w:rFonts w:ascii="Arial" w:hAnsi="Arial" w:cs="Arial"/>
          <w:sz w:val="20"/>
          <w:szCs w:val="20"/>
        </w:rPr>
        <w:t>he</w:t>
      </w:r>
      <w:r w:rsidR="009F0DAC">
        <w:rPr>
          <w:rFonts w:ascii="Arial" w:hAnsi="Arial" w:cs="Arial"/>
          <w:sz w:val="20"/>
          <w:szCs w:val="20"/>
        </w:rPr>
        <w:t xml:space="preserve"> primary intent of the PDW</w:t>
      </w:r>
      <w:r w:rsidR="00956FB3">
        <w:rPr>
          <w:rFonts w:ascii="Arial" w:hAnsi="Arial" w:cs="Arial"/>
          <w:sz w:val="20"/>
          <w:szCs w:val="20"/>
        </w:rPr>
        <w:t>G</w:t>
      </w:r>
      <w:r w:rsidR="004C5C13">
        <w:rPr>
          <w:rFonts w:ascii="Arial" w:hAnsi="Arial" w:cs="Arial"/>
          <w:sz w:val="20"/>
          <w:szCs w:val="20"/>
        </w:rPr>
        <w:t xml:space="preserve"> focus areas</w:t>
      </w:r>
      <w:r w:rsidR="00A87EA8">
        <w:rPr>
          <w:rFonts w:ascii="Arial" w:hAnsi="Arial" w:cs="Arial"/>
          <w:sz w:val="20"/>
          <w:szCs w:val="20"/>
        </w:rPr>
        <w:t xml:space="preserve"> in</w:t>
      </w:r>
      <w:r w:rsidR="001751BC">
        <w:rPr>
          <w:rFonts w:ascii="Arial" w:hAnsi="Arial" w:cs="Arial"/>
          <w:sz w:val="20"/>
          <w:szCs w:val="20"/>
        </w:rPr>
        <w:t xml:space="preserve"> </w:t>
      </w:r>
      <w:r w:rsidR="0038391B">
        <w:rPr>
          <w:rFonts w:ascii="Arial" w:hAnsi="Arial" w:cs="Arial"/>
          <w:sz w:val="20"/>
          <w:szCs w:val="20"/>
        </w:rPr>
        <w:t>FY2016</w:t>
      </w:r>
      <w:r w:rsidR="00956FB3">
        <w:rPr>
          <w:rFonts w:ascii="Arial" w:hAnsi="Arial" w:cs="Arial"/>
          <w:sz w:val="20"/>
          <w:szCs w:val="20"/>
        </w:rPr>
        <w:t xml:space="preserve"> is to provide better </w:t>
      </w:r>
      <w:r w:rsidR="009F0DAC">
        <w:rPr>
          <w:rFonts w:ascii="Arial" w:hAnsi="Arial" w:cs="Arial"/>
          <w:sz w:val="20"/>
          <w:szCs w:val="20"/>
        </w:rPr>
        <w:t xml:space="preserve">organizational focus on </w:t>
      </w:r>
      <w:r w:rsidR="00B4460E">
        <w:rPr>
          <w:rFonts w:ascii="Arial" w:hAnsi="Arial" w:cs="Arial"/>
          <w:sz w:val="20"/>
          <w:szCs w:val="20"/>
        </w:rPr>
        <w:t>improvements across the entire</w:t>
      </w:r>
      <w:r w:rsidR="009F0DAC">
        <w:rPr>
          <w:rFonts w:ascii="Arial" w:hAnsi="Arial" w:cs="Arial"/>
          <w:sz w:val="20"/>
          <w:szCs w:val="20"/>
        </w:rPr>
        <w:t xml:space="preserve"> project lifecycle</w:t>
      </w:r>
      <w:r w:rsidR="00956FB3">
        <w:rPr>
          <w:rFonts w:ascii="Arial" w:hAnsi="Arial" w:cs="Arial"/>
          <w:sz w:val="20"/>
          <w:szCs w:val="20"/>
        </w:rPr>
        <w:t xml:space="preserve"> </w:t>
      </w:r>
      <w:r w:rsidR="00B4460E">
        <w:rPr>
          <w:rFonts w:ascii="Arial" w:hAnsi="Arial" w:cs="Arial"/>
          <w:sz w:val="20"/>
          <w:szCs w:val="20"/>
        </w:rPr>
        <w:t xml:space="preserve">and </w:t>
      </w:r>
      <w:r w:rsidR="00956FB3">
        <w:rPr>
          <w:rFonts w:ascii="Arial" w:hAnsi="Arial" w:cs="Arial"/>
          <w:sz w:val="20"/>
          <w:szCs w:val="20"/>
        </w:rPr>
        <w:t xml:space="preserve">to </w:t>
      </w:r>
      <w:r w:rsidR="00B4460E">
        <w:rPr>
          <w:rFonts w:ascii="Arial" w:hAnsi="Arial" w:cs="Arial"/>
          <w:sz w:val="20"/>
          <w:szCs w:val="20"/>
        </w:rPr>
        <w:t xml:space="preserve">align our efforts with </w:t>
      </w:r>
      <w:r w:rsidR="00330092">
        <w:rPr>
          <w:rFonts w:ascii="Arial" w:hAnsi="Arial" w:cs="Arial"/>
          <w:sz w:val="20"/>
          <w:szCs w:val="20"/>
        </w:rPr>
        <w:t xml:space="preserve">DOE’s actions on </w:t>
      </w:r>
      <w:r w:rsidR="007659AE">
        <w:rPr>
          <w:rFonts w:ascii="Arial" w:hAnsi="Arial" w:cs="Arial"/>
          <w:sz w:val="20"/>
          <w:szCs w:val="20"/>
        </w:rPr>
        <w:t>“</w:t>
      </w:r>
      <w:r w:rsidR="00724CA6" w:rsidRPr="00956FB3">
        <w:rPr>
          <w:rFonts w:ascii="Arial" w:hAnsi="Arial" w:cs="Arial"/>
          <w:i/>
          <w:sz w:val="20"/>
          <w:szCs w:val="20"/>
        </w:rPr>
        <w:t>Improving the Department</w:t>
      </w:r>
      <w:r w:rsidR="00816370">
        <w:rPr>
          <w:rFonts w:ascii="Arial" w:hAnsi="Arial" w:cs="Arial"/>
          <w:i/>
          <w:sz w:val="20"/>
          <w:szCs w:val="20"/>
        </w:rPr>
        <w:t>’</w:t>
      </w:r>
      <w:r w:rsidR="00F83EC4">
        <w:rPr>
          <w:rFonts w:ascii="Arial" w:hAnsi="Arial" w:cs="Arial"/>
          <w:i/>
          <w:sz w:val="20"/>
          <w:szCs w:val="20"/>
        </w:rPr>
        <w:t xml:space="preserve">s </w:t>
      </w:r>
      <w:r w:rsidR="00724CA6" w:rsidRPr="00956FB3">
        <w:rPr>
          <w:rFonts w:ascii="Arial" w:hAnsi="Arial" w:cs="Arial"/>
          <w:i/>
          <w:sz w:val="20"/>
          <w:szCs w:val="20"/>
        </w:rPr>
        <w:t>Management of Projects</w:t>
      </w:r>
      <w:r w:rsidR="007659AE">
        <w:rPr>
          <w:rFonts w:ascii="Arial" w:hAnsi="Arial" w:cs="Arial"/>
          <w:i/>
          <w:sz w:val="20"/>
          <w:szCs w:val="20"/>
        </w:rPr>
        <w:t>”</w:t>
      </w:r>
      <w:r w:rsidR="00956FB3">
        <w:rPr>
          <w:rFonts w:ascii="Arial" w:hAnsi="Arial" w:cs="Arial"/>
          <w:i/>
          <w:sz w:val="20"/>
          <w:szCs w:val="20"/>
        </w:rPr>
        <w:t>.</w:t>
      </w:r>
    </w:p>
    <w:p w:rsidR="00177F8A" w:rsidRDefault="00177F8A" w:rsidP="00956FB3">
      <w:pPr>
        <w:spacing w:after="0" w:line="240" w:lineRule="auto"/>
        <w:rPr>
          <w:rFonts w:ascii="Arial" w:hAnsi="Arial" w:cs="Arial"/>
          <w:sz w:val="20"/>
          <w:szCs w:val="20"/>
        </w:rPr>
      </w:pPr>
    </w:p>
    <w:p w:rsidR="0084497E" w:rsidRDefault="00330092" w:rsidP="00956FB3">
      <w:pPr>
        <w:spacing w:after="0" w:line="240" w:lineRule="auto"/>
        <w:rPr>
          <w:rFonts w:ascii="Arial" w:hAnsi="Arial" w:cs="Arial"/>
          <w:sz w:val="20"/>
          <w:szCs w:val="20"/>
        </w:rPr>
      </w:pPr>
      <w:r>
        <w:rPr>
          <w:rFonts w:ascii="Arial" w:hAnsi="Arial" w:cs="Arial"/>
          <w:sz w:val="20"/>
          <w:szCs w:val="20"/>
        </w:rPr>
        <w:t xml:space="preserve">The Project Management </w:t>
      </w:r>
      <w:r w:rsidR="00816370">
        <w:rPr>
          <w:rFonts w:ascii="Arial" w:hAnsi="Arial" w:cs="Arial"/>
          <w:sz w:val="20"/>
          <w:szCs w:val="20"/>
        </w:rPr>
        <w:t xml:space="preserve">focus </w:t>
      </w:r>
      <w:r w:rsidR="0084497E">
        <w:rPr>
          <w:rFonts w:ascii="Arial" w:hAnsi="Arial" w:cs="Arial"/>
          <w:sz w:val="20"/>
          <w:szCs w:val="20"/>
        </w:rPr>
        <w:t xml:space="preserve">areas </w:t>
      </w:r>
      <w:r w:rsidR="00A14FDA">
        <w:rPr>
          <w:rFonts w:ascii="Arial" w:hAnsi="Arial" w:cs="Arial"/>
          <w:sz w:val="20"/>
          <w:szCs w:val="20"/>
        </w:rPr>
        <w:t xml:space="preserve">will be </w:t>
      </w:r>
      <w:r>
        <w:rPr>
          <w:rFonts w:ascii="Arial" w:hAnsi="Arial" w:cs="Arial"/>
          <w:sz w:val="20"/>
          <w:szCs w:val="20"/>
        </w:rPr>
        <w:t xml:space="preserve">project </w:t>
      </w:r>
      <w:r w:rsidR="004C5C13">
        <w:rPr>
          <w:rFonts w:ascii="Arial" w:hAnsi="Arial" w:cs="Arial"/>
          <w:sz w:val="20"/>
          <w:szCs w:val="20"/>
        </w:rPr>
        <w:t>management,</w:t>
      </w:r>
      <w:r w:rsidR="00E61143">
        <w:rPr>
          <w:rFonts w:ascii="Arial" w:hAnsi="Arial" w:cs="Arial"/>
          <w:sz w:val="20"/>
          <w:szCs w:val="20"/>
        </w:rPr>
        <w:t xml:space="preserve"> </w:t>
      </w:r>
      <w:r>
        <w:rPr>
          <w:rFonts w:ascii="Arial" w:hAnsi="Arial" w:cs="Arial"/>
          <w:sz w:val="20"/>
          <w:szCs w:val="20"/>
        </w:rPr>
        <w:t>construction management</w:t>
      </w:r>
      <w:r w:rsidR="00250977">
        <w:rPr>
          <w:rFonts w:ascii="Arial" w:hAnsi="Arial" w:cs="Arial"/>
          <w:sz w:val="20"/>
          <w:szCs w:val="20"/>
        </w:rPr>
        <w:t>,</w:t>
      </w:r>
      <w:r w:rsidR="004C5C13">
        <w:rPr>
          <w:rFonts w:ascii="Arial" w:hAnsi="Arial" w:cs="Arial"/>
          <w:sz w:val="20"/>
          <w:szCs w:val="20"/>
        </w:rPr>
        <w:t xml:space="preserve"> risk management and project engineering</w:t>
      </w:r>
      <w:r>
        <w:rPr>
          <w:rFonts w:ascii="Arial" w:hAnsi="Arial" w:cs="Arial"/>
          <w:sz w:val="20"/>
          <w:szCs w:val="20"/>
        </w:rPr>
        <w:t>.</w:t>
      </w:r>
      <w:r w:rsidR="00177F8A">
        <w:rPr>
          <w:rFonts w:ascii="Arial" w:hAnsi="Arial" w:cs="Arial"/>
          <w:sz w:val="20"/>
          <w:szCs w:val="20"/>
        </w:rPr>
        <w:t xml:space="preserve"> </w:t>
      </w:r>
      <w:r w:rsidR="00250977">
        <w:rPr>
          <w:rFonts w:ascii="Arial" w:hAnsi="Arial" w:cs="Arial"/>
          <w:sz w:val="20"/>
          <w:szCs w:val="20"/>
        </w:rPr>
        <w:t xml:space="preserve">The </w:t>
      </w:r>
      <w:r w:rsidR="00FD21B2">
        <w:rPr>
          <w:rFonts w:ascii="Arial" w:hAnsi="Arial" w:cs="Arial"/>
          <w:sz w:val="20"/>
          <w:szCs w:val="20"/>
        </w:rPr>
        <w:t>Project Controls</w:t>
      </w:r>
      <w:r w:rsidR="00250977">
        <w:rPr>
          <w:rFonts w:ascii="Arial" w:hAnsi="Arial" w:cs="Arial"/>
          <w:sz w:val="20"/>
          <w:szCs w:val="20"/>
        </w:rPr>
        <w:t xml:space="preserve"> focus area</w:t>
      </w:r>
      <w:r w:rsidR="00A14FDA">
        <w:rPr>
          <w:rFonts w:ascii="Arial" w:hAnsi="Arial" w:cs="Arial"/>
          <w:sz w:val="20"/>
          <w:szCs w:val="20"/>
        </w:rPr>
        <w:t>s</w:t>
      </w:r>
      <w:r w:rsidR="00972D54">
        <w:rPr>
          <w:rFonts w:ascii="Arial" w:hAnsi="Arial" w:cs="Arial"/>
          <w:sz w:val="20"/>
          <w:szCs w:val="20"/>
        </w:rPr>
        <w:t xml:space="preserve"> will </w:t>
      </w:r>
      <w:r w:rsidR="00A14FDA">
        <w:rPr>
          <w:rFonts w:ascii="Arial" w:hAnsi="Arial" w:cs="Arial"/>
          <w:sz w:val="20"/>
          <w:szCs w:val="20"/>
        </w:rPr>
        <w:t>be</w:t>
      </w:r>
      <w:r w:rsidR="00E80C39">
        <w:rPr>
          <w:rFonts w:ascii="Arial" w:hAnsi="Arial" w:cs="Arial"/>
          <w:sz w:val="20"/>
          <w:szCs w:val="20"/>
        </w:rPr>
        <w:t xml:space="preserve"> earned value management, cost estimating</w:t>
      </w:r>
      <w:r w:rsidR="00305F3D">
        <w:rPr>
          <w:rFonts w:ascii="Arial" w:hAnsi="Arial" w:cs="Arial"/>
          <w:sz w:val="20"/>
          <w:szCs w:val="20"/>
        </w:rPr>
        <w:t>, scheduling and business management</w:t>
      </w:r>
      <w:r w:rsidR="00816370">
        <w:rPr>
          <w:rFonts w:ascii="Arial" w:hAnsi="Arial" w:cs="Arial"/>
          <w:sz w:val="20"/>
          <w:szCs w:val="20"/>
        </w:rPr>
        <w:t xml:space="preserve">. </w:t>
      </w:r>
      <w:r>
        <w:rPr>
          <w:rFonts w:ascii="Arial" w:hAnsi="Arial" w:cs="Arial"/>
          <w:sz w:val="20"/>
          <w:szCs w:val="20"/>
        </w:rPr>
        <w:t>These efforts will be integrated to provide solutions to improving project</w:t>
      </w:r>
      <w:r w:rsidR="0069688B">
        <w:rPr>
          <w:rFonts w:ascii="Arial" w:hAnsi="Arial" w:cs="Arial"/>
          <w:sz w:val="20"/>
          <w:szCs w:val="20"/>
        </w:rPr>
        <w:t xml:space="preserve"> delivery</w:t>
      </w:r>
      <w:r>
        <w:rPr>
          <w:rFonts w:ascii="Arial" w:hAnsi="Arial" w:cs="Arial"/>
          <w:sz w:val="20"/>
          <w:szCs w:val="20"/>
        </w:rPr>
        <w:t xml:space="preserve"> across the complex.</w:t>
      </w:r>
      <w:r w:rsidR="00503A7D">
        <w:rPr>
          <w:rFonts w:ascii="Arial" w:hAnsi="Arial" w:cs="Arial"/>
          <w:sz w:val="20"/>
          <w:szCs w:val="20"/>
        </w:rPr>
        <w:t xml:space="preserve">  </w:t>
      </w:r>
      <w:r w:rsidR="0084497E">
        <w:rPr>
          <w:rFonts w:ascii="Arial" w:hAnsi="Arial" w:cs="Arial"/>
          <w:sz w:val="20"/>
          <w:szCs w:val="20"/>
        </w:rPr>
        <w:t>The work</w:t>
      </w:r>
      <w:r w:rsidR="00E61143">
        <w:rPr>
          <w:rFonts w:ascii="Arial" w:hAnsi="Arial" w:cs="Arial"/>
          <w:sz w:val="20"/>
          <w:szCs w:val="20"/>
        </w:rPr>
        <w:t xml:space="preserve"> </w:t>
      </w:r>
      <w:r w:rsidR="0084497E">
        <w:rPr>
          <w:rFonts w:ascii="Arial" w:hAnsi="Arial" w:cs="Arial"/>
          <w:sz w:val="20"/>
          <w:szCs w:val="20"/>
        </w:rPr>
        <w:t xml:space="preserve">plan activities will be accomplished through the </w:t>
      </w:r>
      <w:r w:rsidR="00E61143">
        <w:rPr>
          <w:rFonts w:ascii="Arial" w:hAnsi="Arial" w:cs="Arial"/>
          <w:sz w:val="20"/>
          <w:szCs w:val="20"/>
        </w:rPr>
        <w:t>collaboration</w:t>
      </w:r>
      <w:r w:rsidR="0084497E">
        <w:rPr>
          <w:rFonts w:ascii="Arial" w:hAnsi="Arial" w:cs="Arial"/>
          <w:sz w:val="20"/>
          <w:szCs w:val="20"/>
        </w:rPr>
        <w:t xml:space="preserve"> of complex-wide SME’s.</w:t>
      </w:r>
    </w:p>
    <w:p w:rsidR="0084497E" w:rsidRDefault="0084497E" w:rsidP="00956FB3">
      <w:pPr>
        <w:spacing w:after="0" w:line="240" w:lineRule="auto"/>
        <w:rPr>
          <w:rFonts w:ascii="Arial" w:hAnsi="Arial" w:cs="Arial"/>
          <w:sz w:val="20"/>
          <w:szCs w:val="20"/>
        </w:rPr>
      </w:pPr>
    </w:p>
    <w:p w:rsidR="0032110E" w:rsidRDefault="00503A7D" w:rsidP="00956FB3">
      <w:pPr>
        <w:spacing w:after="0" w:line="240" w:lineRule="auto"/>
        <w:rPr>
          <w:rFonts w:ascii="Arial" w:hAnsi="Arial" w:cs="Arial"/>
          <w:sz w:val="20"/>
          <w:szCs w:val="20"/>
        </w:rPr>
      </w:pPr>
      <w:r>
        <w:rPr>
          <w:rFonts w:ascii="Arial" w:hAnsi="Arial" w:cs="Arial"/>
          <w:sz w:val="20"/>
          <w:szCs w:val="20"/>
        </w:rPr>
        <w:t>The “EFCOG PDWG Planned Activities for</w:t>
      </w:r>
      <w:r w:rsidR="001751BC">
        <w:rPr>
          <w:rFonts w:ascii="Arial" w:hAnsi="Arial" w:cs="Arial"/>
          <w:sz w:val="20"/>
          <w:szCs w:val="20"/>
        </w:rPr>
        <w:t xml:space="preserve"> </w:t>
      </w:r>
      <w:r w:rsidR="0038391B">
        <w:rPr>
          <w:rFonts w:ascii="Arial" w:hAnsi="Arial" w:cs="Arial"/>
          <w:sz w:val="20"/>
          <w:szCs w:val="20"/>
        </w:rPr>
        <w:t>FY2016</w:t>
      </w:r>
      <w:r>
        <w:rPr>
          <w:rFonts w:ascii="Arial" w:hAnsi="Arial" w:cs="Arial"/>
          <w:sz w:val="20"/>
          <w:szCs w:val="20"/>
        </w:rPr>
        <w:t>” are detailed in the table below.</w:t>
      </w:r>
    </w:p>
    <w:p w:rsidR="000D094F" w:rsidRDefault="000D094F">
      <w:pPr>
        <w:rPr>
          <w:sz w:val="24"/>
          <w:szCs w:val="24"/>
        </w:rPr>
      </w:pPr>
      <w:r>
        <w:rPr>
          <w:sz w:val="24"/>
          <w:szCs w:val="24"/>
        </w:rPr>
        <w:br w:type="page"/>
      </w:r>
    </w:p>
    <w:p w:rsidR="000504B8" w:rsidRPr="003877F9" w:rsidRDefault="00B743C9" w:rsidP="000504B8">
      <w:pPr>
        <w:spacing w:after="0" w:line="240" w:lineRule="auto"/>
        <w:rPr>
          <w:rFonts w:ascii="Arial" w:hAnsi="Arial" w:cs="Arial"/>
          <w:b/>
          <w:sz w:val="28"/>
          <w:szCs w:val="28"/>
        </w:rPr>
      </w:pPr>
      <w:r w:rsidRPr="003877F9">
        <w:rPr>
          <w:rFonts w:ascii="Arial" w:hAnsi="Arial" w:cs="Arial"/>
          <w:b/>
          <w:sz w:val="28"/>
          <w:szCs w:val="28"/>
        </w:rPr>
        <w:lastRenderedPageBreak/>
        <w:t xml:space="preserve">EFCOG </w:t>
      </w:r>
      <w:r w:rsidR="003877F9">
        <w:rPr>
          <w:rFonts w:ascii="Arial" w:hAnsi="Arial" w:cs="Arial"/>
          <w:b/>
          <w:sz w:val="28"/>
          <w:szCs w:val="28"/>
        </w:rPr>
        <w:t>PDWG Planned Activities for</w:t>
      </w:r>
      <w:r w:rsidR="00FD6BBC">
        <w:rPr>
          <w:rFonts w:ascii="Arial" w:hAnsi="Arial" w:cs="Arial"/>
          <w:b/>
          <w:sz w:val="28"/>
          <w:szCs w:val="28"/>
        </w:rPr>
        <w:t xml:space="preserve"> </w:t>
      </w:r>
      <w:r w:rsidR="0038391B">
        <w:rPr>
          <w:rFonts w:ascii="Arial" w:hAnsi="Arial" w:cs="Arial"/>
          <w:b/>
          <w:sz w:val="28"/>
          <w:szCs w:val="28"/>
        </w:rPr>
        <w:t>FY2016</w:t>
      </w:r>
    </w:p>
    <w:tbl>
      <w:tblPr>
        <w:tblStyle w:val="LightList-Accent11"/>
        <w:tblW w:w="4948" w:type="pct"/>
        <w:tblInd w:w="115" w:type="dxa"/>
        <w:tblBorders>
          <w:insideH w:val="single" w:sz="8" w:space="0" w:color="4F81BD"/>
          <w:insideV w:val="single" w:sz="8" w:space="0" w:color="4F81BD"/>
        </w:tblBorders>
        <w:tblCellMar>
          <w:top w:w="115" w:type="dxa"/>
          <w:left w:w="115" w:type="dxa"/>
          <w:bottom w:w="115" w:type="dxa"/>
          <w:right w:w="115" w:type="dxa"/>
        </w:tblCellMar>
        <w:tblLook w:val="04A0" w:firstRow="1" w:lastRow="0" w:firstColumn="1" w:lastColumn="0" w:noHBand="0" w:noVBand="1"/>
      </w:tblPr>
      <w:tblGrid>
        <w:gridCol w:w="2800"/>
        <w:gridCol w:w="9"/>
        <w:gridCol w:w="3139"/>
        <w:gridCol w:w="3542"/>
      </w:tblGrid>
      <w:tr w:rsidR="0098157D" w:rsidRPr="007139B6" w:rsidTr="00D165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5" w:type="pct"/>
            <w:tcBorders>
              <w:bottom w:val="single" w:sz="8" w:space="0" w:color="4F81BD"/>
            </w:tcBorders>
            <w:vAlign w:val="center"/>
            <w:hideMark/>
          </w:tcPr>
          <w:p w:rsidR="0098157D" w:rsidRPr="007139B6" w:rsidRDefault="0098157D">
            <w:pPr>
              <w:jc w:val="center"/>
              <w:rPr>
                <w:rFonts w:ascii="Arial" w:hAnsi="Arial" w:cs="Arial"/>
                <w:b w:val="0"/>
                <w:sz w:val="20"/>
                <w:szCs w:val="20"/>
              </w:rPr>
            </w:pPr>
            <w:r w:rsidRPr="007139B6">
              <w:rPr>
                <w:rFonts w:ascii="Arial" w:hAnsi="Arial" w:cs="Arial"/>
                <w:b w:val="0"/>
                <w:sz w:val="20"/>
                <w:szCs w:val="20"/>
              </w:rPr>
              <w:t>Activity</w:t>
            </w:r>
            <w:r w:rsidR="00FE58A2">
              <w:rPr>
                <w:rFonts w:ascii="Arial" w:hAnsi="Arial" w:cs="Arial"/>
                <w:b w:val="0"/>
                <w:sz w:val="20"/>
                <w:szCs w:val="20"/>
              </w:rPr>
              <w:t>(s)</w:t>
            </w:r>
          </w:p>
        </w:tc>
        <w:tc>
          <w:tcPr>
            <w:tcW w:w="1659" w:type="pct"/>
            <w:gridSpan w:val="2"/>
            <w:tcBorders>
              <w:bottom w:val="single" w:sz="8" w:space="0" w:color="4F81BD"/>
            </w:tcBorders>
            <w:vAlign w:val="center"/>
            <w:hideMark/>
          </w:tcPr>
          <w:p w:rsidR="0098157D" w:rsidRPr="007139B6" w:rsidRDefault="009815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7139B6">
              <w:rPr>
                <w:rFonts w:ascii="Arial" w:hAnsi="Arial" w:cs="Arial"/>
                <w:b w:val="0"/>
                <w:sz w:val="20"/>
                <w:szCs w:val="20"/>
              </w:rPr>
              <w:t>Benefit</w:t>
            </w:r>
            <w:r w:rsidR="00FE58A2">
              <w:rPr>
                <w:rFonts w:ascii="Arial" w:hAnsi="Arial" w:cs="Arial"/>
                <w:b w:val="0"/>
                <w:sz w:val="20"/>
                <w:szCs w:val="20"/>
              </w:rPr>
              <w:t>(s)</w:t>
            </w:r>
          </w:p>
        </w:tc>
        <w:tc>
          <w:tcPr>
            <w:tcW w:w="1866" w:type="pct"/>
            <w:tcBorders>
              <w:bottom w:val="single" w:sz="8" w:space="0" w:color="4F81BD"/>
            </w:tcBorders>
            <w:vAlign w:val="center"/>
            <w:hideMark/>
          </w:tcPr>
          <w:p w:rsidR="0098157D" w:rsidRPr="007139B6" w:rsidRDefault="009815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7139B6">
              <w:rPr>
                <w:rFonts w:ascii="Arial" w:hAnsi="Arial" w:cs="Arial"/>
                <w:b w:val="0"/>
                <w:sz w:val="20"/>
                <w:szCs w:val="20"/>
              </w:rPr>
              <w:t>Deliverable/Key Milestone(s)</w:t>
            </w:r>
          </w:p>
        </w:tc>
      </w:tr>
      <w:tr w:rsidR="000F5FF1" w:rsidRPr="007139B6" w:rsidTr="00D16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0CECE" w:themeFill="background2" w:themeFillShade="E6"/>
          </w:tcPr>
          <w:p w:rsidR="000F5FF1" w:rsidRPr="007139B6" w:rsidRDefault="000F5FF1" w:rsidP="0082785F">
            <w:pPr>
              <w:rPr>
                <w:rFonts w:ascii="Arial" w:hAnsi="Arial" w:cs="Arial"/>
                <w:sz w:val="20"/>
                <w:szCs w:val="20"/>
              </w:rPr>
            </w:pPr>
            <w:r>
              <w:rPr>
                <w:rFonts w:ascii="Arial" w:hAnsi="Arial" w:cs="Arial"/>
                <w:sz w:val="20"/>
                <w:szCs w:val="20"/>
              </w:rPr>
              <w:t>1.0</w:t>
            </w:r>
            <w:r w:rsidR="00CF4DB5">
              <w:rPr>
                <w:rFonts w:ascii="Arial" w:hAnsi="Arial" w:cs="Arial"/>
                <w:sz w:val="20"/>
                <w:szCs w:val="20"/>
              </w:rPr>
              <w:t xml:space="preserve"> </w:t>
            </w:r>
            <w:r w:rsidR="0038391B">
              <w:rPr>
                <w:rFonts w:ascii="Arial" w:hAnsi="Arial" w:cs="Arial"/>
                <w:sz w:val="20"/>
                <w:szCs w:val="20"/>
              </w:rPr>
              <w:t>FY2016</w:t>
            </w:r>
            <w:r>
              <w:rPr>
                <w:rFonts w:ascii="Arial" w:hAnsi="Arial" w:cs="Arial"/>
                <w:sz w:val="20"/>
                <w:szCs w:val="20"/>
              </w:rPr>
              <w:t xml:space="preserve"> </w:t>
            </w:r>
            <w:r w:rsidR="004E4290">
              <w:rPr>
                <w:rFonts w:ascii="Arial" w:hAnsi="Arial" w:cs="Arial"/>
                <w:sz w:val="20"/>
                <w:szCs w:val="20"/>
              </w:rPr>
              <w:t>Project Control</w:t>
            </w:r>
            <w:r w:rsidR="00CC58AD">
              <w:rPr>
                <w:rFonts w:ascii="Arial" w:hAnsi="Arial" w:cs="Arial"/>
                <w:sz w:val="20"/>
                <w:szCs w:val="20"/>
              </w:rPr>
              <w:t>s</w:t>
            </w:r>
            <w:r w:rsidR="004E4290">
              <w:rPr>
                <w:rFonts w:ascii="Arial" w:hAnsi="Arial" w:cs="Arial"/>
                <w:sz w:val="20"/>
                <w:szCs w:val="20"/>
              </w:rPr>
              <w:t xml:space="preserve"> </w:t>
            </w:r>
            <w:r w:rsidR="00583C8C">
              <w:rPr>
                <w:rFonts w:ascii="Arial" w:hAnsi="Arial" w:cs="Arial"/>
                <w:sz w:val="20"/>
                <w:szCs w:val="20"/>
              </w:rPr>
              <w:t>Initiatives</w:t>
            </w:r>
            <w:r w:rsidR="00E53699">
              <w:rPr>
                <w:rFonts w:ascii="Arial" w:hAnsi="Arial" w:cs="Arial"/>
                <w:sz w:val="20"/>
                <w:szCs w:val="20"/>
              </w:rPr>
              <w:t xml:space="preserve"> </w:t>
            </w:r>
          </w:p>
        </w:tc>
      </w:tr>
      <w:tr w:rsidR="0098157D" w:rsidRPr="007139B6" w:rsidTr="00F52EF2">
        <w:tc>
          <w:tcPr>
            <w:cnfStyle w:val="001000000000" w:firstRow="0" w:lastRow="0" w:firstColumn="1" w:lastColumn="0" w:oddVBand="0" w:evenVBand="0" w:oddHBand="0" w:evenHBand="0" w:firstRowFirstColumn="0" w:firstRowLastColumn="0" w:lastRowFirstColumn="0" w:lastRowLastColumn="0"/>
            <w:tcW w:w="1475" w:type="pct"/>
            <w:shd w:val="clear" w:color="auto" w:fill="auto"/>
            <w:hideMark/>
          </w:tcPr>
          <w:p w:rsidR="0098157D" w:rsidRPr="00D77EF7" w:rsidRDefault="0098157D" w:rsidP="00E80C39">
            <w:pPr>
              <w:rPr>
                <w:rFonts w:ascii="Arial" w:hAnsi="Arial" w:cs="Arial"/>
                <w:b w:val="0"/>
                <w:sz w:val="20"/>
                <w:szCs w:val="20"/>
              </w:rPr>
            </w:pPr>
            <w:r w:rsidRPr="00D77EF7">
              <w:rPr>
                <w:rFonts w:ascii="Arial" w:hAnsi="Arial" w:cs="Arial"/>
                <w:b w:val="0"/>
                <w:sz w:val="20"/>
                <w:szCs w:val="20"/>
              </w:rPr>
              <w:t>1.1 Support Earned Value Management implementation of the Project Management Assessments and Oversight (PMOA) EVMS Interpretation Handbook (EVMSIH)</w:t>
            </w:r>
          </w:p>
        </w:tc>
        <w:tc>
          <w:tcPr>
            <w:tcW w:w="1659" w:type="pct"/>
            <w:gridSpan w:val="2"/>
            <w:shd w:val="clear" w:color="auto" w:fill="auto"/>
          </w:tcPr>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7EF7">
              <w:rPr>
                <w:rFonts w:ascii="Arial" w:hAnsi="Arial" w:cs="Arial"/>
                <w:sz w:val="20"/>
                <w:szCs w:val="20"/>
              </w:rPr>
              <w:t>The purpose of the specific enhancements contained in the</w:t>
            </w:r>
            <w:r w:rsidR="001751BC" w:rsidRPr="00D77EF7">
              <w:rPr>
                <w:rFonts w:ascii="Arial" w:hAnsi="Arial" w:cs="Arial"/>
                <w:sz w:val="20"/>
                <w:szCs w:val="20"/>
              </w:rPr>
              <w:t xml:space="preserve"> </w:t>
            </w:r>
            <w:r w:rsidR="0038391B" w:rsidRPr="00D77EF7">
              <w:rPr>
                <w:rFonts w:ascii="Arial" w:hAnsi="Arial" w:cs="Arial"/>
                <w:sz w:val="20"/>
                <w:szCs w:val="20"/>
              </w:rPr>
              <w:t>FY2016</w:t>
            </w:r>
            <w:r w:rsidRPr="00D77EF7">
              <w:rPr>
                <w:rFonts w:ascii="Arial" w:hAnsi="Arial" w:cs="Arial"/>
                <w:sz w:val="20"/>
                <w:szCs w:val="20"/>
              </w:rPr>
              <w:t xml:space="preserve"> Work Plan is to further develop a “process</w:t>
            </w:r>
            <w:r w:rsidR="009F49C3" w:rsidRPr="00D77EF7">
              <w:rPr>
                <w:rFonts w:ascii="Arial" w:hAnsi="Arial" w:cs="Arial"/>
                <w:sz w:val="20"/>
                <w:szCs w:val="20"/>
              </w:rPr>
              <w:t>”</w:t>
            </w:r>
            <w:r w:rsidRPr="00D77EF7">
              <w:rPr>
                <w:rFonts w:ascii="Arial" w:hAnsi="Arial" w:cs="Arial"/>
                <w:sz w:val="20"/>
                <w:szCs w:val="20"/>
              </w:rPr>
              <w:t xml:space="preserve"> </w:t>
            </w:r>
            <w:r w:rsidR="00FD2FE6" w:rsidRPr="00D77EF7">
              <w:rPr>
                <w:rFonts w:ascii="Arial" w:hAnsi="Arial" w:cs="Arial"/>
                <w:sz w:val="20"/>
                <w:szCs w:val="20"/>
              </w:rPr>
              <w:t>vs.</w:t>
            </w:r>
            <w:r w:rsidRPr="00D77EF7">
              <w:rPr>
                <w:rFonts w:ascii="Arial" w:hAnsi="Arial" w:cs="Arial"/>
                <w:sz w:val="20"/>
                <w:szCs w:val="20"/>
              </w:rPr>
              <w:t xml:space="preserve"> “people” driven outcome that yields consistent and accurate assessments of any contractor</w:t>
            </w:r>
            <w:r w:rsidR="009F49C3" w:rsidRPr="00D77EF7">
              <w:rPr>
                <w:rFonts w:ascii="Arial" w:hAnsi="Arial" w:cs="Arial"/>
                <w:sz w:val="20"/>
                <w:szCs w:val="20"/>
              </w:rPr>
              <w:t>’</w:t>
            </w:r>
            <w:r w:rsidRPr="00D77EF7">
              <w:rPr>
                <w:rFonts w:ascii="Arial" w:hAnsi="Arial" w:cs="Arial"/>
                <w:sz w:val="20"/>
                <w:szCs w:val="20"/>
              </w:rPr>
              <w:t>s EVM state of compliance.</w:t>
            </w: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7EF7">
              <w:rPr>
                <w:rFonts w:ascii="Arial" w:hAnsi="Arial" w:cs="Arial"/>
                <w:sz w:val="20"/>
                <w:szCs w:val="20"/>
              </w:rPr>
              <w:t>Expected outcome: Using the deliverables identified in the</w:t>
            </w:r>
            <w:r w:rsidR="001751BC" w:rsidRPr="00D77EF7">
              <w:rPr>
                <w:rFonts w:ascii="Arial" w:hAnsi="Arial" w:cs="Arial"/>
                <w:sz w:val="20"/>
                <w:szCs w:val="20"/>
              </w:rPr>
              <w:t xml:space="preserve"> </w:t>
            </w:r>
            <w:r w:rsidR="0038391B" w:rsidRPr="00D77EF7">
              <w:rPr>
                <w:rFonts w:ascii="Arial" w:hAnsi="Arial" w:cs="Arial"/>
                <w:sz w:val="20"/>
                <w:szCs w:val="20"/>
              </w:rPr>
              <w:t>FY2016</w:t>
            </w:r>
            <w:r w:rsidRPr="00D77EF7">
              <w:rPr>
                <w:rFonts w:ascii="Arial" w:hAnsi="Arial" w:cs="Arial"/>
                <w:sz w:val="20"/>
                <w:szCs w:val="20"/>
              </w:rPr>
              <w:t xml:space="preserve"> initiatives, PMOA or EFCOG individuals with a reasonable level of EVM experience can successfully perform EVMS review/ surv</w:t>
            </w:r>
            <w:r w:rsidR="00E25B03" w:rsidRPr="00D77EF7">
              <w:rPr>
                <w:rFonts w:ascii="Arial" w:hAnsi="Arial" w:cs="Arial"/>
                <w:sz w:val="20"/>
                <w:szCs w:val="20"/>
              </w:rPr>
              <w:t xml:space="preserve">eillance and uniformly </w:t>
            </w:r>
            <w:r w:rsidR="00FD2FE6" w:rsidRPr="00D77EF7">
              <w:rPr>
                <w:rFonts w:ascii="Arial" w:hAnsi="Arial" w:cs="Arial"/>
                <w:sz w:val="20"/>
                <w:szCs w:val="20"/>
              </w:rPr>
              <w:t>capture</w:t>
            </w:r>
            <w:r w:rsidR="00856969" w:rsidRPr="00D77EF7">
              <w:rPr>
                <w:rFonts w:ascii="Arial" w:hAnsi="Arial" w:cs="Arial"/>
                <w:sz w:val="20"/>
                <w:szCs w:val="20"/>
              </w:rPr>
              <w:t xml:space="preserve"> </w:t>
            </w:r>
            <w:r w:rsidRPr="00D77EF7">
              <w:rPr>
                <w:rFonts w:ascii="Arial" w:hAnsi="Arial" w:cs="Arial"/>
                <w:sz w:val="20"/>
                <w:szCs w:val="20"/>
              </w:rPr>
              <w:t>record</w:t>
            </w:r>
            <w:r w:rsidR="009F49C3" w:rsidRPr="00D77EF7">
              <w:rPr>
                <w:rFonts w:ascii="Arial" w:hAnsi="Arial" w:cs="Arial"/>
                <w:sz w:val="20"/>
                <w:szCs w:val="20"/>
              </w:rPr>
              <w:t xml:space="preserve"> and</w:t>
            </w:r>
            <w:r w:rsidR="00F253AD" w:rsidRPr="00D77EF7">
              <w:rPr>
                <w:rFonts w:ascii="Arial" w:hAnsi="Arial" w:cs="Arial"/>
                <w:sz w:val="20"/>
                <w:szCs w:val="20"/>
              </w:rPr>
              <w:t xml:space="preserve"> </w:t>
            </w:r>
            <w:r w:rsidR="00E25B03" w:rsidRPr="00D77EF7">
              <w:rPr>
                <w:rFonts w:ascii="Arial" w:hAnsi="Arial" w:cs="Arial"/>
                <w:sz w:val="20"/>
                <w:szCs w:val="20"/>
              </w:rPr>
              <w:t xml:space="preserve">evaluate </w:t>
            </w:r>
            <w:r w:rsidRPr="00D77EF7">
              <w:rPr>
                <w:rFonts w:ascii="Arial" w:hAnsi="Arial" w:cs="Arial"/>
                <w:sz w:val="20"/>
                <w:szCs w:val="20"/>
              </w:rPr>
              <w:t>the results, and provide a meaningful, consistent assessment of the contractor</w:t>
            </w:r>
            <w:r w:rsidR="009F49C3" w:rsidRPr="00D77EF7">
              <w:rPr>
                <w:rFonts w:ascii="Arial" w:hAnsi="Arial" w:cs="Arial"/>
                <w:sz w:val="20"/>
                <w:szCs w:val="20"/>
              </w:rPr>
              <w:t>’</w:t>
            </w:r>
            <w:r w:rsidRPr="00D77EF7">
              <w:rPr>
                <w:rFonts w:ascii="Arial" w:hAnsi="Arial" w:cs="Arial"/>
                <w:sz w:val="20"/>
                <w:szCs w:val="20"/>
              </w:rPr>
              <w:t>s EVMS.</w:t>
            </w:r>
          </w:p>
        </w:tc>
        <w:tc>
          <w:tcPr>
            <w:tcW w:w="1866" w:type="pct"/>
            <w:shd w:val="clear" w:color="auto" w:fill="auto"/>
          </w:tcPr>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77EF7">
              <w:rPr>
                <w:rFonts w:ascii="Arial" w:hAnsi="Arial" w:cs="Arial"/>
                <w:sz w:val="20"/>
                <w:szCs w:val="20"/>
              </w:rPr>
              <w:t xml:space="preserve">1.1.1 </w:t>
            </w:r>
            <w:r w:rsidRPr="00D77EF7">
              <w:rPr>
                <w:rFonts w:ascii="Arial" w:eastAsiaTheme="minorHAnsi" w:hAnsi="Arial" w:cs="Arial"/>
                <w:sz w:val="20"/>
                <w:szCs w:val="20"/>
              </w:rPr>
              <w:t>Development of certification/surveillance standardized Data Call List</w:t>
            </w:r>
            <w:r w:rsidR="00E53699" w:rsidRPr="00D77EF7">
              <w:rPr>
                <w:rFonts w:ascii="Arial" w:eastAsiaTheme="minorHAnsi" w:hAnsi="Arial" w:cs="Arial"/>
                <w:sz w:val="20"/>
                <w:szCs w:val="20"/>
              </w:rPr>
              <w:t xml:space="preserve"> </w:t>
            </w:r>
            <w:r w:rsidR="00E53699" w:rsidRPr="00D77EF7">
              <w:rPr>
                <w:rFonts w:ascii="Arial" w:eastAsiaTheme="minorHAnsi" w:hAnsi="Arial" w:cs="Arial"/>
                <w:b/>
                <w:sz w:val="20"/>
                <w:szCs w:val="20"/>
              </w:rPr>
              <w:t>(200 Hours)</w:t>
            </w: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D77EF7">
              <w:rPr>
                <w:rFonts w:ascii="Arial" w:hAnsi="Arial" w:cs="Arial"/>
                <w:sz w:val="20"/>
                <w:szCs w:val="20"/>
              </w:rPr>
              <w:t xml:space="preserve">1.1.2 </w:t>
            </w:r>
            <w:r w:rsidRPr="00D77EF7">
              <w:rPr>
                <w:rFonts w:ascii="Arial" w:eastAsiaTheme="minorHAnsi" w:hAnsi="Arial" w:cs="Arial"/>
                <w:sz w:val="20"/>
                <w:szCs w:val="20"/>
              </w:rPr>
              <w:t>Verbatim conversion of the EVMSIH into an Excel format template for use by all in performing and documenting EVMS reviews/ surveillances (PMOA &amp; Contractor)</w:t>
            </w:r>
          </w:p>
          <w:p w:rsidR="0098157D" w:rsidRPr="00D77EF7" w:rsidRDefault="00D0620E" w:rsidP="008638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77EF7">
              <w:rPr>
                <w:rFonts w:ascii="Arial" w:hAnsi="Arial" w:cs="Arial"/>
                <w:b/>
                <w:sz w:val="20"/>
                <w:szCs w:val="20"/>
              </w:rPr>
              <w:t>(3</w:t>
            </w:r>
            <w:r w:rsidR="00E53699" w:rsidRPr="00D77EF7">
              <w:rPr>
                <w:rFonts w:ascii="Arial" w:hAnsi="Arial" w:cs="Arial"/>
                <w:b/>
                <w:sz w:val="20"/>
                <w:szCs w:val="20"/>
              </w:rPr>
              <w:t>00 Hours)</w:t>
            </w:r>
          </w:p>
          <w:p w:rsidR="00E53699" w:rsidRPr="00D77EF7" w:rsidRDefault="00E53699"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D77EF7">
              <w:rPr>
                <w:rFonts w:ascii="Arial" w:hAnsi="Arial" w:cs="Arial"/>
                <w:sz w:val="20"/>
                <w:szCs w:val="20"/>
              </w:rPr>
              <w:t xml:space="preserve">1.1.3 </w:t>
            </w:r>
            <w:r w:rsidRPr="00D77EF7">
              <w:rPr>
                <w:rFonts w:ascii="Arial" w:eastAsiaTheme="minorHAnsi" w:hAnsi="Arial" w:cs="Arial"/>
                <w:sz w:val="20"/>
                <w:szCs w:val="20"/>
              </w:rPr>
              <w:t>Illustration of the PMOA EVMSIH to include all compliance tests and document/data comparisons</w:t>
            </w:r>
            <w:r w:rsidR="00E53699" w:rsidRPr="00D77EF7">
              <w:rPr>
                <w:rFonts w:ascii="Arial" w:eastAsiaTheme="minorHAnsi" w:hAnsi="Arial" w:cs="Arial"/>
                <w:sz w:val="20"/>
                <w:szCs w:val="20"/>
              </w:rPr>
              <w:t xml:space="preserve"> </w:t>
            </w:r>
            <w:r w:rsidR="00D0620E" w:rsidRPr="00D77EF7">
              <w:rPr>
                <w:rFonts w:ascii="Arial" w:eastAsiaTheme="minorHAnsi" w:hAnsi="Arial" w:cs="Arial"/>
                <w:b/>
                <w:sz w:val="20"/>
                <w:szCs w:val="20"/>
              </w:rPr>
              <w:t>(3</w:t>
            </w:r>
            <w:r w:rsidR="00E53699" w:rsidRPr="00D77EF7">
              <w:rPr>
                <w:rFonts w:ascii="Arial" w:eastAsiaTheme="minorHAnsi" w:hAnsi="Arial" w:cs="Arial"/>
                <w:b/>
                <w:sz w:val="20"/>
                <w:szCs w:val="20"/>
              </w:rPr>
              <w:t>00 Hours)</w:t>
            </w: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D77EF7">
              <w:rPr>
                <w:rFonts w:ascii="Arial" w:hAnsi="Arial" w:cs="Arial"/>
                <w:sz w:val="20"/>
                <w:szCs w:val="20"/>
              </w:rPr>
              <w:t xml:space="preserve">1.1.4 </w:t>
            </w:r>
            <w:r w:rsidRPr="00D77EF7">
              <w:rPr>
                <w:rFonts w:ascii="Arial" w:eastAsiaTheme="minorHAnsi" w:hAnsi="Arial" w:cs="Arial"/>
                <w:sz w:val="20"/>
                <w:szCs w:val="20"/>
              </w:rPr>
              <w:t>Integrating (where practical) the PMOA and Contractor Review/ Surveillance EVMS schedule for Peer Reviews to get in front of the PMOA review</w:t>
            </w:r>
            <w:r w:rsidR="00E53699" w:rsidRPr="00D77EF7">
              <w:rPr>
                <w:rFonts w:ascii="Arial" w:eastAsiaTheme="minorHAnsi" w:hAnsi="Arial" w:cs="Arial"/>
                <w:sz w:val="20"/>
                <w:szCs w:val="20"/>
              </w:rPr>
              <w:t xml:space="preserve"> </w:t>
            </w:r>
            <w:r w:rsidR="00E53699" w:rsidRPr="00D77EF7">
              <w:rPr>
                <w:rFonts w:ascii="Arial" w:eastAsiaTheme="minorHAnsi" w:hAnsi="Arial" w:cs="Arial"/>
                <w:b/>
                <w:sz w:val="20"/>
                <w:szCs w:val="20"/>
              </w:rPr>
              <w:t>(200 Hours)</w:t>
            </w: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7EF7">
              <w:rPr>
                <w:rFonts w:ascii="Arial" w:eastAsiaTheme="minorHAnsi" w:hAnsi="Arial" w:cs="Arial"/>
                <w:sz w:val="20"/>
                <w:szCs w:val="20"/>
              </w:rPr>
              <w:t xml:space="preserve">1.1.5 </w:t>
            </w:r>
            <w:r w:rsidR="00F43A38" w:rsidRPr="00D77EF7">
              <w:rPr>
                <w:rFonts w:ascii="Arial" w:eastAsiaTheme="minorHAnsi" w:hAnsi="Arial" w:cs="Arial"/>
                <w:sz w:val="20"/>
                <w:szCs w:val="20"/>
              </w:rPr>
              <w:t xml:space="preserve">Host a </w:t>
            </w:r>
            <w:r w:rsidRPr="00D77EF7">
              <w:rPr>
                <w:rFonts w:ascii="Arial" w:hAnsi="Arial" w:cs="Arial"/>
                <w:sz w:val="20"/>
                <w:szCs w:val="20"/>
              </w:rPr>
              <w:t>SME working session in November</w:t>
            </w:r>
            <w:r w:rsidR="001751BC" w:rsidRPr="00D77EF7">
              <w:rPr>
                <w:rFonts w:ascii="Arial" w:hAnsi="Arial" w:cs="Arial"/>
                <w:sz w:val="20"/>
                <w:szCs w:val="20"/>
              </w:rPr>
              <w:t xml:space="preserve"> </w:t>
            </w:r>
            <w:r w:rsidR="0038391B" w:rsidRPr="00D77EF7">
              <w:rPr>
                <w:rFonts w:ascii="Arial" w:hAnsi="Arial" w:cs="Arial"/>
                <w:sz w:val="20"/>
                <w:szCs w:val="20"/>
              </w:rPr>
              <w:t>FY201</w:t>
            </w:r>
            <w:r w:rsidR="000439E6" w:rsidRPr="00D77EF7">
              <w:rPr>
                <w:rFonts w:ascii="Arial" w:hAnsi="Arial" w:cs="Arial"/>
                <w:sz w:val="20"/>
                <w:szCs w:val="20"/>
              </w:rPr>
              <w:t>6</w:t>
            </w:r>
            <w:r w:rsidRPr="00D77EF7">
              <w:rPr>
                <w:rFonts w:ascii="Arial" w:hAnsi="Arial" w:cs="Arial"/>
                <w:sz w:val="20"/>
                <w:szCs w:val="20"/>
              </w:rPr>
              <w:t>.  Confere</w:t>
            </w:r>
            <w:r w:rsidR="00FD2FE6" w:rsidRPr="00D77EF7">
              <w:rPr>
                <w:rFonts w:ascii="Arial" w:hAnsi="Arial" w:cs="Arial"/>
                <w:sz w:val="20"/>
                <w:szCs w:val="20"/>
              </w:rPr>
              <w:t>nce exemption approval received</w:t>
            </w:r>
            <w:r w:rsidR="00A34D7C" w:rsidRPr="00D77EF7">
              <w:rPr>
                <w:rFonts w:ascii="Arial" w:hAnsi="Arial" w:cs="Arial"/>
                <w:sz w:val="20"/>
                <w:szCs w:val="20"/>
              </w:rPr>
              <w:t>.</w:t>
            </w:r>
          </w:p>
          <w:p w:rsidR="00E53699" w:rsidRPr="00D77EF7" w:rsidRDefault="00D0620E" w:rsidP="008638D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rPr>
            </w:pPr>
            <w:r w:rsidRPr="00D77EF7">
              <w:rPr>
                <w:rFonts w:ascii="Arial" w:hAnsi="Arial" w:cs="Arial"/>
                <w:b/>
                <w:sz w:val="20"/>
                <w:szCs w:val="20"/>
              </w:rPr>
              <w:t>(300 Hours)</w:t>
            </w:r>
          </w:p>
          <w:p w:rsidR="0098157D" w:rsidRPr="00D77EF7"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8157D" w:rsidRPr="00D77EF7" w:rsidRDefault="0082785F" w:rsidP="008638D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77EF7">
              <w:rPr>
                <w:rFonts w:ascii="Arial" w:hAnsi="Arial" w:cs="Arial"/>
                <w:b/>
                <w:sz w:val="20"/>
                <w:szCs w:val="20"/>
              </w:rPr>
              <w:t>(1300 Total Labor Hours)</w:t>
            </w:r>
          </w:p>
          <w:p w:rsidR="0098157D" w:rsidRPr="00661875" w:rsidRDefault="0098157D" w:rsidP="00B829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7EF7">
              <w:rPr>
                <w:rFonts w:ascii="Arial" w:hAnsi="Arial" w:cs="Arial"/>
                <w:sz w:val="20"/>
                <w:szCs w:val="20"/>
              </w:rPr>
              <w:t>Note:  Dates for the above action items will be jointly developed with DOE-HQ PMOA staff and EFCOG</w:t>
            </w:r>
          </w:p>
          <w:p w:rsidR="0098157D" w:rsidRPr="00661875" w:rsidRDefault="0098157D" w:rsidP="00B829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8157D" w:rsidRPr="00661875" w:rsidRDefault="0098157D" w:rsidP="00B829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6F050F" w:rsidRPr="00661875" w:rsidRDefault="006F050F" w:rsidP="00B829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8157D" w:rsidRPr="00661875" w:rsidTr="00F52E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5" w:type="pct"/>
            <w:shd w:val="clear" w:color="auto" w:fill="auto"/>
          </w:tcPr>
          <w:p w:rsidR="0098157D" w:rsidRPr="00D77EF7" w:rsidRDefault="0098157D" w:rsidP="008638D9">
            <w:pPr>
              <w:rPr>
                <w:rFonts w:ascii="Arial" w:hAnsi="Arial" w:cs="Arial"/>
                <w:b w:val="0"/>
                <w:sz w:val="20"/>
                <w:szCs w:val="20"/>
              </w:rPr>
            </w:pPr>
            <w:r w:rsidRPr="00D77EF7">
              <w:rPr>
                <w:rFonts w:ascii="Arial" w:hAnsi="Arial" w:cs="Arial"/>
                <w:b w:val="0"/>
                <w:sz w:val="20"/>
                <w:szCs w:val="20"/>
              </w:rPr>
              <w:lastRenderedPageBreak/>
              <w:t xml:space="preserve">1.2 Cost Estimating will  </w:t>
            </w:r>
            <w:r w:rsidR="009417BE" w:rsidRPr="00D77EF7">
              <w:rPr>
                <w:rFonts w:ascii="Arial" w:hAnsi="Arial" w:cs="Arial"/>
                <w:b w:val="0"/>
                <w:sz w:val="20"/>
                <w:szCs w:val="20"/>
              </w:rPr>
              <w:t xml:space="preserve">evaluate alignment to the GAO Estimating Process, </w:t>
            </w:r>
            <w:r w:rsidR="001D7830" w:rsidRPr="00D77EF7">
              <w:rPr>
                <w:rFonts w:ascii="Arial" w:hAnsi="Arial" w:cs="Arial"/>
                <w:b w:val="0"/>
                <w:sz w:val="20"/>
                <w:szCs w:val="20"/>
              </w:rPr>
              <w:t>d</w:t>
            </w:r>
            <w:r w:rsidR="009417BE" w:rsidRPr="00D77EF7">
              <w:rPr>
                <w:rFonts w:ascii="Arial" w:hAnsi="Arial" w:cs="Arial"/>
                <w:b w:val="0"/>
                <w:sz w:val="20"/>
                <w:szCs w:val="20"/>
              </w:rPr>
              <w:t xml:space="preserve">evelop an alignment matrix to reflect the results, and </w:t>
            </w:r>
            <w:r w:rsidRPr="00D77EF7">
              <w:rPr>
                <w:rFonts w:ascii="Arial" w:hAnsi="Arial" w:cs="Arial"/>
                <w:b w:val="0"/>
                <w:sz w:val="20"/>
                <w:szCs w:val="20"/>
              </w:rPr>
              <w:t>identify the estimating points of contact for the EFCOG contractors</w:t>
            </w:r>
          </w:p>
          <w:p w:rsidR="0098157D" w:rsidRPr="00D77EF7" w:rsidRDefault="0098157D" w:rsidP="008638D9">
            <w:pPr>
              <w:rPr>
                <w:rFonts w:ascii="Arial" w:hAnsi="Arial" w:cs="Arial"/>
                <w:b w:val="0"/>
                <w:sz w:val="20"/>
                <w:szCs w:val="20"/>
              </w:rPr>
            </w:pPr>
          </w:p>
          <w:p w:rsidR="0098157D" w:rsidRPr="00D77EF7" w:rsidRDefault="0098157D" w:rsidP="008C7DCA">
            <w:pPr>
              <w:rPr>
                <w:rFonts w:ascii="Arial" w:hAnsi="Arial" w:cs="Arial"/>
                <w:b w:val="0"/>
                <w:sz w:val="20"/>
                <w:szCs w:val="20"/>
              </w:rPr>
            </w:pPr>
          </w:p>
          <w:p w:rsidR="0098157D" w:rsidRPr="00D77EF7" w:rsidRDefault="0098157D" w:rsidP="008C7DCA">
            <w:pPr>
              <w:rPr>
                <w:rFonts w:ascii="Arial" w:hAnsi="Arial" w:cs="Arial"/>
                <w:b w:val="0"/>
                <w:sz w:val="20"/>
                <w:szCs w:val="20"/>
              </w:rPr>
            </w:pPr>
          </w:p>
          <w:p w:rsidR="0098157D" w:rsidRPr="00D77EF7" w:rsidRDefault="0098157D" w:rsidP="008C7DCA">
            <w:pPr>
              <w:rPr>
                <w:rFonts w:ascii="Arial" w:hAnsi="Arial" w:cs="Arial"/>
                <w:b w:val="0"/>
                <w:sz w:val="20"/>
                <w:szCs w:val="20"/>
              </w:rPr>
            </w:pPr>
          </w:p>
          <w:p w:rsidR="0098157D" w:rsidRPr="00D77EF7" w:rsidRDefault="0098157D" w:rsidP="008C7DCA">
            <w:pPr>
              <w:rPr>
                <w:rFonts w:ascii="Arial" w:hAnsi="Arial" w:cs="Arial"/>
                <w:b w:val="0"/>
                <w:sz w:val="20"/>
                <w:szCs w:val="20"/>
              </w:rPr>
            </w:pPr>
          </w:p>
          <w:p w:rsidR="0098157D" w:rsidRPr="00D77EF7" w:rsidRDefault="0098157D" w:rsidP="008C7DCA">
            <w:pPr>
              <w:rPr>
                <w:rFonts w:ascii="Arial" w:hAnsi="Arial" w:cs="Arial"/>
                <w:b w:val="0"/>
                <w:sz w:val="20"/>
                <w:szCs w:val="20"/>
              </w:rPr>
            </w:pPr>
          </w:p>
          <w:p w:rsidR="0098157D" w:rsidRPr="00D77EF7" w:rsidRDefault="0098157D" w:rsidP="008C7DCA">
            <w:pPr>
              <w:rPr>
                <w:rFonts w:ascii="Arial" w:hAnsi="Arial" w:cs="Arial"/>
                <w:b w:val="0"/>
                <w:sz w:val="20"/>
                <w:szCs w:val="20"/>
              </w:rPr>
            </w:pPr>
          </w:p>
          <w:p w:rsidR="0098157D" w:rsidRPr="00D77EF7" w:rsidRDefault="0098157D" w:rsidP="004936F8">
            <w:pPr>
              <w:rPr>
                <w:rFonts w:ascii="Arial" w:hAnsi="Arial" w:cs="Arial"/>
                <w:b w:val="0"/>
                <w:sz w:val="20"/>
                <w:szCs w:val="20"/>
              </w:rPr>
            </w:pPr>
          </w:p>
        </w:tc>
        <w:tc>
          <w:tcPr>
            <w:tcW w:w="1659" w:type="pct"/>
            <w:gridSpan w:val="2"/>
            <w:shd w:val="clear" w:color="auto" w:fill="auto"/>
          </w:tcPr>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This will provide documented best practices in meeting the GAO 12-step process</w:t>
            </w:r>
            <w:r w:rsidR="00F43A38" w:rsidRPr="00D77EF7">
              <w:rPr>
                <w:rFonts w:ascii="Arial" w:hAnsi="Arial" w:cs="Arial"/>
                <w:sz w:val="20"/>
                <w:szCs w:val="20"/>
              </w:rPr>
              <w:t>.</w:t>
            </w: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This alignment promotes continuous improvement of estimates across the DOE complex</w:t>
            </w:r>
            <w:r w:rsidR="00F43A38" w:rsidRPr="00D77EF7">
              <w:rPr>
                <w:rFonts w:ascii="Arial" w:hAnsi="Arial" w:cs="Arial"/>
                <w:sz w:val="20"/>
                <w:szCs w:val="20"/>
              </w:rPr>
              <w:t>.</w:t>
            </w:r>
            <w:r w:rsidRPr="00D77EF7">
              <w:rPr>
                <w:rFonts w:ascii="Arial" w:hAnsi="Arial" w:cs="Arial"/>
                <w:sz w:val="20"/>
                <w:szCs w:val="20"/>
              </w:rPr>
              <w:t xml:space="preserve"> </w:t>
            </w: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D4953" w:rsidRPr="00D77EF7" w:rsidRDefault="002D4953"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Establishment of the estimating POCs provides a forum for contractors to evaluate and provide contractor perspective on the estimating challenges experienced across the DOE complex.  The estimating POCs will provide important feedback and recommendations/ solutions to the DOE estimating challenges.</w:t>
            </w:r>
          </w:p>
          <w:p w:rsidR="0098157D" w:rsidRPr="00D77EF7" w:rsidRDefault="0098157D" w:rsidP="002C18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 xml:space="preserve"> </w:t>
            </w:r>
          </w:p>
        </w:tc>
        <w:tc>
          <w:tcPr>
            <w:tcW w:w="1866" w:type="pct"/>
            <w:shd w:val="clear" w:color="auto" w:fill="auto"/>
          </w:tcPr>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1.2.1 Analysis of current EFCOG contractors estimating processes to the alignment with the GAO steps by February</w:t>
            </w:r>
            <w:r w:rsidR="00705E39" w:rsidRPr="00D77EF7">
              <w:rPr>
                <w:rFonts w:ascii="Arial" w:hAnsi="Arial" w:cs="Arial"/>
                <w:sz w:val="20"/>
                <w:szCs w:val="20"/>
              </w:rPr>
              <w:t xml:space="preserve"> </w:t>
            </w:r>
            <w:r w:rsidR="0038391B" w:rsidRPr="00D77EF7">
              <w:rPr>
                <w:rFonts w:ascii="Arial" w:hAnsi="Arial" w:cs="Arial"/>
                <w:sz w:val="20"/>
                <w:szCs w:val="20"/>
              </w:rPr>
              <w:t>FY2016</w:t>
            </w: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1.2.2 Develop a recommendation and framework (including</w:t>
            </w:r>
            <w:r w:rsidRPr="00D77EF7">
              <w:t xml:space="preserve"> an </w:t>
            </w:r>
            <w:r w:rsidRPr="00D77EF7">
              <w:rPr>
                <w:rFonts w:ascii="Arial" w:hAnsi="Arial" w:cs="Arial"/>
                <w:sz w:val="20"/>
                <w:szCs w:val="20"/>
              </w:rPr>
              <w:t>implementation matrix), which could include best practices, for common understanding a</w:t>
            </w:r>
            <w:r w:rsidR="00E25B03" w:rsidRPr="00D77EF7">
              <w:rPr>
                <w:rFonts w:ascii="Arial" w:hAnsi="Arial" w:cs="Arial"/>
                <w:sz w:val="20"/>
                <w:szCs w:val="20"/>
              </w:rPr>
              <w:t>nd implementation of the GAO 12-</w:t>
            </w:r>
            <w:r w:rsidRPr="00D77EF7">
              <w:rPr>
                <w:rFonts w:ascii="Arial" w:hAnsi="Arial" w:cs="Arial"/>
                <w:sz w:val="20"/>
                <w:szCs w:val="20"/>
              </w:rPr>
              <w:t>step process checklist for 413.3B Project Estimates</w:t>
            </w:r>
            <w:r w:rsidR="00CE069A" w:rsidRPr="00D77EF7">
              <w:rPr>
                <w:rFonts w:ascii="Arial" w:hAnsi="Arial" w:cs="Arial"/>
                <w:sz w:val="20"/>
                <w:szCs w:val="20"/>
              </w:rPr>
              <w:t xml:space="preserve"> -</w:t>
            </w:r>
            <w:r w:rsidRPr="00D77EF7">
              <w:rPr>
                <w:rFonts w:ascii="Arial" w:hAnsi="Arial" w:cs="Arial"/>
                <w:sz w:val="20"/>
                <w:szCs w:val="20"/>
              </w:rPr>
              <w:t xml:space="preserve"> September</w:t>
            </w:r>
            <w:r w:rsidR="00705E39" w:rsidRPr="00D77EF7">
              <w:rPr>
                <w:rFonts w:ascii="Arial" w:hAnsi="Arial" w:cs="Arial"/>
                <w:sz w:val="20"/>
                <w:szCs w:val="20"/>
              </w:rPr>
              <w:t xml:space="preserve"> </w:t>
            </w:r>
            <w:r w:rsidR="0038391B" w:rsidRPr="00D77EF7">
              <w:rPr>
                <w:rFonts w:ascii="Arial" w:hAnsi="Arial" w:cs="Arial"/>
                <w:sz w:val="20"/>
                <w:szCs w:val="20"/>
              </w:rPr>
              <w:t>FY2016</w:t>
            </w: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1.2.3 Identification of an estimating point-of-contact (POC) for each EFCOG participating site by August,</w:t>
            </w:r>
            <w:r w:rsidR="00E506A7" w:rsidRPr="00D77EF7">
              <w:rPr>
                <w:rFonts w:ascii="Arial" w:hAnsi="Arial" w:cs="Arial"/>
                <w:sz w:val="20"/>
                <w:szCs w:val="20"/>
              </w:rPr>
              <w:t xml:space="preserve"> </w:t>
            </w:r>
            <w:r w:rsidR="0038391B" w:rsidRPr="00D77EF7">
              <w:rPr>
                <w:rFonts w:ascii="Arial" w:hAnsi="Arial" w:cs="Arial"/>
                <w:sz w:val="20"/>
                <w:szCs w:val="20"/>
              </w:rPr>
              <w:t>201</w:t>
            </w:r>
            <w:r w:rsidR="00184B7F" w:rsidRPr="00D77EF7">
              <w:rPr>
                <w:rFonts w:ascii="Arial" w:hAnsi="Arial" w:cs="Arial"/>
                <w:sz w:val="20"/>
                <w:szCs w:val="20"/>
              </w:rPr>
              <w:t>6</w:t>
            </w:r>
          </w:p>
          <w:p w:rsidR="0098157D" w:rsidRPr="00D77EF7" w:rsidRDefault="0098157D"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655C8" w:rsidRPr="00661875" w:rsidRDefault="008655C8" w:rsidP="008638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7EF7">
              <w:rPr>
                <w:rFonts w:ascii="Arial" w:hAnsi="Arial" w:cs="Arial"/>
                <w:sz w:val="20"/>
                <w:szCs w:val="20"/>
              </w:rPr>
              <w:t>(</w:t>
            </w:r>
            <w:r w:rsidR="00F37FC8" w:rsidRPr="00D77EF7">
              <w:rPr>
                <w:rFonts w:ascii="Arial" w:hAnsi="Arial" w:cs="Arial"/>
                <w:b/>
                <w:sz w:val="20"/>
                <w:szCs w:val="20"/>
              </w:rPr>
              <w:t>3</w:t>
            </w:r>
            <w:r w:rsidRPr="00D77EF7">
              <w:rPr>
                <w:rFonts w:ascii="Arial" w:hAnsi="Arial" w:cs="Arial"/>
                <w:b/>
                <w:sz w:val="20"/>
                <w:szCs w:val="20"/>
              </w:rPr>
              <w:t>00 Total Labor Hours)</w:t>
            </w:r>
          </w:p>
        </w:tc>
      </w:tr>
      <w:tr w:rsidR="0098157D" w:rsidRPr="00661875" w:rsidTr="00F52EF2">
        <w:trPr>
          <w:cantSplit/>
        </w:trPr>
        <w:tc>
          <w:tcPr>
            <w:cnfStyle w:val="001000000000" w:firstRow="0" w:lastRow="0" w:firstColumn="1" w:lastColumn="0" w:oddVBand="0" w:evenVBand="0" w:oddHBand="0" w:evenHBand="0" w:firstRowFirstColumn="0" w:firstRowLastColumn="0" w:lastRowFirstColumn="0" w:lastRowLastColumn="0"/>
            <w:tcW w:w="1475" w:type="pct"/>
            <w:shd w:val="clear" w:color="auto" w:fill="auto"/>
          </w:tcPr>
          <w:p w:rsidR="0098157D" w:rsidRPr="00661875" w:rsidRDefault="0098157D" w:rsidP="00BC21F6">
            <w:pPr>
              <w:rPr>
                <w:rFonts w:ascii="Arial" w:hAnsi="Arial" w:cs="Arial"/>
                <w:b w:val="0"/>
                <w:sz w:val="20"/>
                <w:szCs w:val="20"/>
              </w:rPr>
            </w:pPr>
            <w:r w:rsidRPr="00661875">
              <w:rPr>
                <w:rFonts w:ascii="Arial" w:hAnsi="Arial" w:cs="Arial"/>
                <w:b w:val="0"/>
                <w:sz w:val="20"/>
                <w:szCs w:val="20"/>
              </w:rPr>
              <w:t>1.3 Scheduling will develop Integrated Master Schedule (IMS) Supplemental Guidance (SG) to facilitate (IMS SG) consistent implementation of the EVMSIH</w:t>
            </w:r>
          </w:p>
        </w:tc>
        <w:tc>
          <w:tcPr>
            <w:tcW w:w="1659" w:type="pct"/>
            <w:gridSpan w:val="2"/>
            <w:shd w:val="clear" w:color="auto" w:fill="auto"/>
          </w:tcPr>
          <w:p w:rsidR="0098157D" w:rsidRPr="00661875" w:rsidRDefault="0098157D" w:rsidP="008638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1875">
              <w:rPr>
                <w:rFonts w:ascii="Arial" w:hAnsi="Arial" w:cs="Arial"/>
                <w:sz w:val="20"/>
                <w:szCs w:val="20"/>
              </w:rPr>
              <w:t>Establishment of the IMS SG will address common challenges and their resolution with respect to implementation of the EVMSIH.</w:t>
            </w:r>
          </w:p>
        </w:tc>
        <w:tc>
          <w:tcPr>
            <w:tcW w:w="1866" w:type="pct"/>
            <w:shd w:val="clear" w:color="auto" w:fill="auto"/>
          </w:tcPr>
          <w:p w:rsidR="0098157D" w:rsidRDefault="0098157D" w:rsidP="00BA3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1875">
              <w:rPr>
                <w:rFonts w:ascii="Arial" w:hAnsi="Arial" w:cs="Arial"/>
                <w:sz w:val="20"/>
                <w:szCs w:val="20"/>
              </w:rPr>
              <w:t>1.3.1  Draft IMS SG consistent with the GAO Schedule Assessment Guide for distribution to the EFCOG community for review and comment by June</w:t>
            </w:r>
            <w:r w:rsidR="00D76655" w:rsidRPr="00661875">
              <w:rPr>
                <w:rFonts w:ascii="Arial" w:hAnsi="Arial" w:cs="Arial"/>
                <w:sz w:val="20"/>
                <w:szCs w:val="20"/>
              </w:rPr>
              <w:t xml:space="preserve"> </w:t>
            </w:r>
            <w:r w:rsidR="0038391B" w:rsidRPr="00661875">
              <w:rPr>
                <w:rFonts w:ascii="Arial" w:hAnsi="Arial" w:cs="Arial"/>
                <w:sz w:val="20"/>
                <w:szCs w:val="20"/>
              </w:rPr>
              <w:t>2016</w:t>
            </w:r>
          </w:p>
          <w:p w:rsidR="00F37FC8" w:rsidRDefault="00F37FC8" w:rsidP="00BA3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F37FC8" w:rsidRPr="00F37FC8" w:rsidRDefault="00F37FC8" w:rsidP="00BA3DA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37FC8">
              <w:rPr>
                <w:rFonts w:ascii="Arial" w:hAnsi="Arial" w:cs="Arial"/>
                <w:b/>
                <w:sz w:val="20"/>
                <w:szCs w:val="20"/>
              </w:rPr>
              <w:t>(300 Total Labor Hours)</w:t>
            </w:r>
          </w:p>
        </w:tc>
      </w:tr>
      <w:tr w:rsidR="000F5FF1" w:rsidRPr="007139B6" w:rsidTr="00D165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0CECE" w:themeFill="background2" w:themeFillShade="E6"/>
          </w:tcPr>
          <w:p w:rsidR="000F5FF1" w:rsidRPr="000F5FF1" w:rsidRDefault="000F5FF1" w:rsidP="0098157D">
            <w:pPr>
              <w:rPr>
                <w:rFonts w:ascii="Arial" w:hAnsi="Arial" w:cs="Arial"/>
                <w:sz w:val="20"/>
                <w:szCs w:val="20"/>
              </w:rPr>
            </w:pPr>
            <w:r w:rsidRPr="000F5FF1">
              <w:rPr>
                <w:rFonts w:ascii="Arial" w:hAnsi="Arial" w:cs="Arial"/>
                <w:sz w:val="20"/>
                <w:szCs w:val="20"/>
              </w:rPr>
              <w:t>2.0</w:t>
            </w:r>
            <w:r w:rsidR="00E91BC7">
              <w:rPr>
                <w:rFonts w:ascii="Arial" w:hAnsi="Arial" w:cs="Arial"/>
                <w:sz w:val="20"/>
                <w:szCs w:val="20"/>
              </w:rPr>
              <w:t xml:space="preserve"> </w:t>
            </w:r>
            <w:r w:rsidR="0038391B">
              <w:rPr>
                <w:rFonts w:ascii="Arial" w:hAnsi="Arial" w:cs="Arial"/>
                <w:sz w:val="20"/>
                <w:szCs w:val="20"/>
              </w:rPr>
              <w:t>FY2016</w:t>
            </w:r>
            <w:r w:rsidRPr="000F5FF1">
              <w:rPr>
                <w:rFonts w:ascii="Arial" w:hAnsi="Arial" w:cs="Arial"/>
                <w:sz w:val="20"/>
                <w:szCs w:val="20"/>
              </w:rPr>
              <w:t xml:space="preserve"> </w:t>
            </w:r>
            <w:r w:rsidR="009C381C">
              <w:rPr>
                <w:rFonts w:ascii="Arial" w:hAnsi="Arial" w:cs="Arial"/>
                <w:sz w:val="20"/>
                <w:szCs w:val="20"/>
              </w:rPr>
              <w:t xml:space="preserve">Project Management </w:t>
            </w:r>
            <w:r w:rsidRPr="000F5FF1">
              <w:rPr>
                <w:rFonts w:ascii="Arial" w:hAnsi="Arial" w:cs="Arial"/>
                <w:sz w:val="20"/>
                <w:szCs w:val="20"/>
              </w:rPr>
              <w:t>Initiatives:</w:t>
            </w:r>
          </w:p>
        </w:tc>
      </w:tr>
      <w:tr w:rsidR="009D4EFF" w:rsidRPr="007139B6" w:rsidTr="00F52EF2">
        <w:trPr>
          <w:cantSplit/>
        </w:trPr>
        <w:tc>
          <w:tcPr>
            <w:cnfStyle w:val="001000000000" w:firstRow="0" w:lastRow="0" w:firstColumn="1" w:lastColumn="0" w:oddVBand="0" w:evenVBand="0" w:oddHBand="0" w:evenHBand="0" w:firstRowFirstColumn="0" w:firstRowLastColumn="0" w:lastRowFirstColumn="0" w:lastRowLastColumn="0"/>
            <w:tcW w:w="1475" w:type="pct"/>
            <w:shd w:val="clear" w:color="auto" w:fill="auto"/>
          </w:tcPr>
          <w:p w:rsidR="009D4EFF" w:rsidRPr="00661875" w:rsidRDefault="00D165C5" w:rsidP="009D4EFF">
            <w:pPr>
              <w:rPr>
                <w:rFonts w:ascii="Arial" w:hAnsi="Arial" w:cs="Arial"/>
                <w:b w:val="0"/>
                <w:bCs w:val="0"/>
                <w:sz w:val="20"/>
                <w:szCs w:val="20"/>
              </w:rPr>
            </w:pPr>
            <w:r>
              <w:rPr>
                <w:rFonts w:ascii="Arial" w:hAnsi="Arial" w:cs="Arial"/>
                <w:b w:val="0"/>
                <w:sz w:val="20"/>
                <w:szCs w:val="20"/>
              </w:rPr>
              <w:t>2.1</w:t>
            </w:r>
            <w:r w:rsidR="009D4EFF" w:rsidRPr="00661875">
              <w:rPr>
                <w:rFonts w:ascii="Arial" w:hAnsi="Arial" w:cs="Arial"/>
                <w:b w:val="0"/>
                <w:sz w:val="20"/>
                <w:szCs w:val="20"/>
              </w:rPr>
              <w:t xml:space="preserve"> Provide review comments and support comment disposition for pending revisions to DOE O 413.3B and associated guides</w:t>
            </w:r>
          </w:p>
        </w:tc>
        <w:tc>
          <w:tcPr>
            <w:tcW w:w="1659" w:type="pct"/>
            <w:gridSpan w:val="2"/>
            <w:shd w:val="clear" w:color="auto" w:fill="auto"/>
          </w:tcPr>
          <w:p w:rsidR="006F050F" w:rsidRDefault="009D4EF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61875">
              <w:rPr>
                <w:rFonts w:ascii="Arial" w:hAnsi="Arial" w:cs="Arial"/>
                <w:bCs/>
                <w:sz w:val="20"/>
                <w:szCs w:val="20"/>
              </w:rPr>
              <w:t xml:space="preserve">Ensure that process/step/deliverable changes resulting from the revised documents are clearly stated </w:t>
            </w:r>
            <w:r w:rsidR="00967439" w:rsidRPr="00661875">
              <w:rPr>
                <w:rFonts w:ascii="Arial" w:hAnsi="Arial" w:cs="Arial"/>
                <w:bCs/>
                <w:sz w:val="20"/>
                <w:szCs w:val="20"/>
              </w:rPr>
              <w:t>and</w:t>
            </w:r>
            <w:r w:rsidR="00967439">
              <w:rPr>
                <w:rFonts w:ascii="Arial" w:hAnsi="Arial" w:cs="Arial"/>
                <w:bCs/>
                <w:sz w:val="20"/>
                <w:szCs w:val="20"/>
              </w:rPr>
              <w:t xml:space="preserve"> to support </w:t>
            </w:r>
            <w:r w:rsidRPr="00661875">
              <w:rPr>
                <w:rFonts w:ascii="Arial" w:hAnsi="Arial" w:cs="Arial"/>
                <w:bCs/>
                <w:sz w:val="20"/>
                <w:szCs w:val="20"/>
              </w:rPr>
              <w:t>consistent implement</w:t>
            </w:r>
            <w:r w:rsidR="00967439">
              <w:rPr>
                <w:rFonts w:ascii="Arial" w:hAnsi="Arial" w:cs="Arial"/>
                <w:bCs/>
                <w:sz w:val="20"/>
                <w:szCs w:val="20"/>
              </w:rPr>
              <w:t>ation</w:t>
            </w:r>
            <w:r w:rsidRPr="00661875">
              <w:rPr>
                <w:rFonts w:ascii="Arial" w:hAnsi="Arial" w:cs="Arial"/>
                <w:bCs/>
                <w:sz w:val="20"/>
                <w:szCs w:val="20"/>
              </w:rPr>
              <w:t xml:space="preserve"> by DOE contractors.</w:t>
            </w:r>
          </w:p>
          <w:p w:rsidR="006F050F" w:rsidRDefault="006F050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6F050F" w:rsidRDefault="006F050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6F050F" w:rsidRDefault="006F050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6F050F" w:rsidRDefault="006F050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6F050F" w:rsidRDefault="006F050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6F050F" w:rsidRDefault="006F050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6F050F" w:rsidRPr="00661875" w:rsidRDefault="006F050F" w:rsidP="0096743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866" w:type="pct"/>
            <w:shd w:val="clear" w:color="auto" w:fill="auto"/>
          </w:tcPr>
          <w:p w:rsidR="009D4EFF" w:rsidRPr="008655C8" w:rsidRDefault="00D165C5" w:rsidP="009D4EFF">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sz w:val="20"/>
                <w:szCs w:val="20"/>
              </w:rPr>
              <w:t>2.1</w:t>
            </w:r>
            <w:r w:rsidR="009D4EFF" w:rsidRPr="00661875">
              <w:rPr>
                <w:rFonts w:ascii="Arial" w:hAnsi="Arial" w:cs="Arial"/>
                <w:bCs/>
                <w:sz w:val="20"/>
                <w:szCs w:val="20"/>
              </w:rPr>
              <w:t xml:space="preserve">.1 Provide comments to DOE HQ point of contact on proposed changes to 413.3B, and </w:t>
            </w:r>
            <w:r w:rsidR="00967439">
              <w:rPr>
                <w:rFonts w:ascii="Arial" w:hAnsi="Arial" w:cs="Arial"/>
                <w:bCs/>
                <w:sz w:val="20"/>
                <w:szCs w:val="20"/>
              </w:rPr>
              <w:t>guides</w:t>
            </w:r>
            <w:r w:rsidR="009D4EFF" w:rsidRPr="00661875">
              <w:rPr>
                <w:rFonts w:ascii="Arial" w:hAnsi="Arial" w:cs="Arial"/>
                <w:bCs/>
                <w:sz w:val="20"/>
                <w:szCs w:val="20"/>
              </w:rPr>
              <w:t xml:space="preserve">.  </w:t>
            </w:r>
            <w:r w:rsidR="009D4EFF" w:rsidRPr="008655C8">
              <w:rPr>
                <w:rFonts w:ascii="Arial" w:hAnsi="Arial" w:cs="Arial"/>
                <w:b/>
                <w:bCs/>
                <w:sz w:val="20"/>
                <w:szCs w:val="20"/>
              </w:rPr>
              <w:t>(530 Labor Hours)</w:t>
            </w:r>
          </w:p>
        </w:tc>
      </w:tr>
      <w:tr w:rsidR="009D4EFF" w:rsidRPr="007139B6" w:rsidTr="00D165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0CECE" w:themeFill="background2" w:themeFillShade="E6"/>
          </w:tcPr>
          <w:p w:rsidR="009D4EFF" w:rsidRPr="00D165C5" w:rsidRDefault="009D4EFF" w:rsidP="009D4EFF">
            <w:pPr>
              <w:rPr>
                <w:rFonts w:ascii="Arial" w:hAnsi="Arial" w:cs="Arial"/>
                <w:sz w:val="20"/>
                <w:szCs w:val="20"/>
              </w:rPr>
            </w:pPr>
            <w:r w:rsidRPr="00D165C5">
              <w:rPr>
                <w:rFonts w:ascii="Arial" w:hAnsi="Arial" w:cs="Arial"/>
                <w:sz w:val="20"/>
                <w:szCs w:val="20"/>
              </w:rPr>
              <w:lastRenderedPageBreak/>
              <w:t>3.0 FY2016 Subject Matter Experts Initiatives:</w:t>
            </w:r>
          </w:p>
        </w:tc>
      </w:tr>
      <w:tr w:rsidR="009D4EFF" w:rsidRPr="007139B6" w:rsidTr="00F52EF2">
        <w:trPr>
          <w:cantSplit/>
        </w:trPr>
        <w:tc>
          <w:tcPr>
            <w:cnfStyle w:val="001000000000" w:firstRow="0" w:lastRow="0" w:firstColumn="1" w:lastColumn="0" w:oddVBand="0" w:evenVBand="0" w:oddHBand="0" w:evenHBand="0" w:firstRowFirstColumn="0" w:firstRowLastColumn="0" w:lastRowFirstColumn="0" w:lastRowLastColumn="0"/>
            <w:tcW w:w="1475" w:type="pct"/>
            <w:shd w:val="clear" w:color="auto" w:fill="auto"/>
          </w:tcPr>
          <w:p w:rsidR="009D4EFF" w:rsidRPr="00661875" w:rsidRDefault="009D4EFF" w:rsidP="009D4EFF">
            <w:pPr>
              <w:rPr>
                <w:rFonts w:ascii="Arial" w:hAnsi="Arial" w:cs="Arial"/>
                <w:b w:val="0"/>
                <w:sz w:val="20"/>
                <w:szCs w:val="20"/>
              </w:rPr>
            </w:pPr>
            <w:r w:rsidRPr="00661875">
              <w:rPr>
                <w:rFonts w:ascii="Arial" w:hAnsi="Arial" w:cs="Arial"/>
                <w:b w:val="0"/>
                <w:sz w:val="20"/>
                <w:szCs w:val="20"/>
              </w:rPr>
              <w:t>3.1 DOE-STD-1189, Integration of Safety into the Design Process, Consolidated Pre-Rev/Com Review</w:t>
            </w:r>
          </w:p>
          <w:p w:rsidR="009D4EFF" w:rsidRPr="00661875" w:rsidRDefault="009D4EFF" w:rsidP="009D4EFF">
            <w:pPr>
              <w:rPr>
                <w:rFonts w:ascii="Arial" w:hAnsi="Arial" w:cs="Arial"/>
                <w:b w:val="0"/>
                <w:sz w:val="20"/>
                <w:szCs w:val="20"/>
              </w:rPr>
            </w:pPr>
          </w:p>
        </w:tc>
        <w:tc>
          <w:tcPr>
            <w:tcW w:w="1659" w:type="pct"/>
            <w:gridSpan w:val="2"/>
            <w:shd w:val="clear" w:color="auto" w:fill="auto"/>
          </w:tcPr>
          <w:p w:rsidR="009D4EFF" w:rsidRPr="0066187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1875">
              <w:rPr>
                <w:rFonts w:ascii="Arial" w:hAnsi="Arial" w:cs="Arial"/>
                <w:sz w:val="20"/>
                <w:szCs w:val="20"/>
              </w:rPr>
              <w:t xml:space="preserve">The DOE-HQ Sponsor, Pranab Guha, has provided EFCOG an opportunity to provide early review and comments to a revision of DOE-STD-1189.  By providing Pre-Rev/Com review and comments, EFCOG will be able to address potential concerns early in the process, create a document that meets both Contractor and DOE objectives, and should be able to accelerate the publication process. </w:t>
            </w:r>
          </w:p>
          <w:p w:rsidR="009D4EFF" w:rsidRPr="0066187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6" w:type="pct"/>
            <w:shd w:val="clear" w:color="auto" w:fill="auto"/>
          </w:tcPr>
          <w:p w:rsidR="009D4EFF" w:rsidRPr="0066187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1875">
              <w:rPr>
                <w:rFonts w:ascii="Arial" w:hAnsi="Arial" w:cs="Arial"/>
                <w:sz w:val="20"/>
                <w:szCs w:val="20"/>
              </w:rPr>
              <w:t>3.1.1 Provide initial comments.  Provide resources to address comment responses.  Support communication of changes and implementation of the revised document.  Partner with the Safety Working Group</w:t>
            </w:r>
          </w:p>
          <w:p w:rsidR="009D4EFF" w:rsidRPr="0066187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D4EFF" w:rsidRPr="0066187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D4EFF" w:rsidRPr="00C979C9"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979C9">
              <w:rPr>
                <w:rFonts w:ascii="Arial" w:hAnsi="Arial" w:cs="Arial"/>
                <w:b/>
                <w:sz w:val="20"/>
                <w:szCs w:val="20"/>
              </w:rPr>
              <w:t>(100 Labor Hours)</w:t>
            </w:r>
          </w:p>
          <w:p w:rsidR="009D4EFF" w:rsidRPr="0066187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D4EFF" w:rsidRPr="0066187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D4EFF" w:rsidRPr="005E38D5" w:rsidTr="00D165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EAAAA" w:themeFill="background2" w:themeFillShade="BF"/>
          </w:tcPr>
          <w:p w:rsidR="009D4EFF" w:rsidRPr="005E38D5" w:rsidRDefault="009D4EFF" w:rsidP="009D4EFF">
            <w:pPr>
              <w:rPr>
                <w:rFonts w:ascii="Arial" w:hAnsi="Arial" w:cs="Arial"/>
                <w:sz w:val="20"/>
                <w:szCs w:val="20"/>
              </w:rPr>
            </w:pPr>
            <w:r w:rsidRPr="007367F6">
              <w:rPr>
                <w:rFonts w:ascii="Arial" w:hAnsi="Arial" w:cs="Arial"/>
                <w:sz w:val="20"/>
                <w:szCs w:val="20"/>
              </w:rPr>
              <w:t>4.0 FY2016 PDWG Administrative Initiatives:</w:t>
            </w:r>
          </w:p>
        </w:tc>
      </w:tr>
      <w:tr w:rsidR="009D4EFF" w:rsidRPr="005E38D5" w:rsidTr="00F52EF2">
        <w:trPr>
          <w:cantSplit/>
        </w:trPr>
        <w:tc>
          <w:tcPr>
            <w:cnfStyle w:val="001000000000" w:firstRow="0" w:lastRow="0" w:firstColumn="1" w:lastColumn="0" w:oddVBand="0" w:evenVBand="0" w:oddHBand="0" w:evenHBand="0" w:firstRowFirstColumn="0" w:firstRowLastColumn="0" w:lastRowFirstColumn="0" w:lastRowLastColumn="0"/>
            <w:tcW w:w="1480" w:type="pct"/>
            <w:gridSpan w:val="2"/>
            <w:shd w:val="clear" w:color="auto" w:fill="auto"/>
          </w:tcPr>
          <w:p w:rsidR="009D4EFF" w:rsidRPr="009D4EB5" w:rsidRDefault="009D4EFF" w:rsidP="009D4EFF">
            <w:pPr>
              <w:keepNext/>
              <w:rPr>
                <w:rFonts w:ascii="Arial" w:hAnsi="Arial" w:cs="Arial"/>
                <w:b w:val="0"/>
                <w:sz w:val="20"/>
                <w:szCs w:val="20"/>
              </w:rPr>
            </w:pPr>
            <w:r w:rsidRPr="009D4EB5">
              <w:rPr>
                <w:rFonts w:ascii="Arial" w:hAnsi="Arial" w:cs="Arial"/>
                <w:b w:val="0"/>
                <w:sz w:val="20"/>
                <w:szCs w:val="20"/>
              </w:rPr>
              <w:t>4.1 Develop a PDWG list of functional area subject matter experts that can support contractor and DOE requests for support of peer reviews and other initiatives</w:t>
            </w:r>
          </w:p>
          <w:p w:rsidR="009D4EFF" w:rsidRPr="009D4EB5" w:rsidRDefault="009D4EFF" w:rsidP="009D4EFF">
            <w:pPr>
              <w:keepNext/>
              <w:rPr>
                <w:rFonts w:ascii="Arial" w:hAnsi="Arial" w:cs="Arial"/>
                <w:b w:val="0"/>
                <w:sz w:val="20"/>
                <w:szCs w:val="20"/>
              </w:rPr>
            </w:pPr>
          </w:p>
          <w:p w:rsidR="009D4EFF" w:rsidRPr="009D4EB5" w:rsidRDefault="009D4EFF" w:rsidP="009D4EFF">
            <w:pPr>
              <w:rPr>
                <w:rFonts w:ascii="Arial" w:hAnsi="Arial" w:cs="Arial"/>
                <w:sz w:val="20"/>
                <w:szCs w:val="20"/>
              </w:rPr>
            </w:pPr>
          </w:p>
        </w:tc>
        <w:tc>
          <w:tcPr>
            <w:tcW w:w="1654" w:type="pct"/>
            <w:shd w:val="clear" w:color="auto" w:fill="auto"/>
          </w:tcPr>
          <w:p w:rsidR="009D4EFF" w:rsidRPr="009D4EB5" w:rsidRDefault="009D4EFF" w:rsidP="009D4EFF">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EB5">
              <w:rPr>
                <w:rFonts w:ascii="Arial" w:hAnsi="Arial" w:cs="Arial"/>
                <w:sz w:val="20"/>
                <w:szCs w:val="20"/>
              </w:rPr>
              <w:t>Utilizing the SMEs across the complex will support efforts of</w:t>
            </w:r>
          </w:p>
          <w:p w:rsidR="009D4EFF" w:rsidRPr="009D4EB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D4EB5">
              <w:rPr>
                <w:rFonts w:ascii="Arial" w:hAnsi="Arial" w:cs="Arial"/>
                <w:i/>
                <w:sz w:val="20"/>
                <w:szCs w:val="20"/>
              </w:rPr>
              <w:t>“Improving the Department’s Management of Projects”.</w:t>
            </w:r>
          </w:p>
          <w:p w:rsidR="009D4EFF" w:rsidRPr="009D4EB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9D4EFF" w:rsidRPr="009D4EB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9D4EFF" w:rsidRPr="009D4EB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9D4EFF" w:rsidRPr="009D4EB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6" w:type="pct"/>
            <w:shd w:val="clear" w:color="auto" w:fill="auto"/>
          </w:tcPr>
          <w:p w:rsidR="009D4EFF" w:rsidRPr="009D4EB5" w:rsidRDefault="009D4EFF" w:rsidP="009D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4EB5">
              <w:rPr>
                <w:rFonts w:ascii="Arial" w:hAnsi="Arial" w:cs="Arial"/>
                <w:sz w:val="20"/>
                <w:szCs w:val="20"/>
              </w:rPr>
              <w:t>4.1.1 Assemble, publish and continuously update SME contact list</w:t>
            </w:r>
          </w:p>
          <w:p w:rsidR="009D4EFF" w:rsidRDefault="009D4EFF" w:rsidP="009D4EFF">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D4EFF" w:rsidRPr="006F00D2" w:rsidRDefault="009D4EFF" w:rsidP="009D4EFF">
            <w:pPr>
              <w:keepNex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(6</w:t>
            </w:r>
            <w:r w:rsidRPr="006F00D2">
              <w:rPr>
                <w:rFonts w:ascii="Arial" w:hAnsi="Arial" w:cs="Arial"/>
                <w:b/>
                <w:sz w:val="20"/>
                <w:szCs w:val="20"/>
              </w:rPr>
              <w:t>0 Total Labor Hours)</w:t>
            </w:r>
          </w:p>
        </w:tc>
      </w:tr>
    </w:tbl>
    <w:p w:rsidR="006233AD" w:rsidRPr="005E38D5" w:rsidRDefault="006233AD" w:rsidP="006233AD">
      <w:pPr>
        <w:keepLines/>
        <w:rPr>
          <w:rFonts w:ascii="Arial" w:hAnsi="Arial" w:cs="Arial"/>
          <w:b/>
          <w:bCs/>
          <w:sz w:val="20"/>
          <w:szCs w:val="20"/>
        </w:rPr>
        <w:sectPr w:rsidR="006233AD" w:rsidRPr="005E38D5" w:rsidSect="007640CD">
          <w:footerReference w:type="default" r:id="rId8"/>
          <w:headerReference w:type="first" r:id="rId9"/>
          <w:pgSz w:w="12240" w:h="15840"/>
          <w:pgMar w:top="1440" w:right="1440" w:bottom="1440" w:left="1440" w:header="720" w:footer="720" w:gutter="0"/>
          <w:cols w:space="720"/>
          <w:docGrid w:linePitch="360"/>
        </w:sectPr>
      </w:pPr>
    </w:p>
    <w:tbl>
      <w:tblPr>
        <w:tblStyle w:val="LightList-Accent11"/>
        <w:tblW w:w="4948" w:type="pct"/>
        <w:tblInd w:w="115" w:type="dxa"/>
        <w:tblBorders>
          <w:insideH w:val="single" w:sz="8" w:space="0" w:color="4F81BD"/>
          <w:insideV w:val="single" w:sz="8" w:space="0" w:color="4F81BD"/>
        </w:tblBorders>
        <w:tblCellMar>
          <w:top w:w="115" w:type="dxa"/>
          <w:left w:w="115" w:type="dxa"/>
          <w:bottom w:w="115" w:type="dxa"/>
          <w:right w:w="115" w:type="dxa"/>
        </w:tblCellMar>
        <w:tblLook w:val="04A0" w:firstRow="1" w:lastRow="0" w:firstColumn="1" w:lastColumn="0" w:noHBand="0" w:noVBand="1"/>
      </w:tblPr>
      <w:tblGrid>
        <w:gridCol w:w="2810"/>
        <w:gridCol w:w="3139"/>
        <w:gridCol w:w="3526"/>
        <w:gridCol w:w="15"/>
      </w:tblGrid>
      <w:tr w:rsidR="008139CB" w:rsidRPr="005E38D5" w:rsidTr="00D530A7">
        <w:trPr>
          <w:gridAfter w:val="1"/>
          <w:cnfStyle w:val="100000000000" w:firstRow="1" w:lastRow="0" w:firstColumn="0" w:lastColumn="0" w:oddVBand="0" w:evenVBand="0" w:oddHBand="0" w:evenHBand="0" w:firstRowFirstColumn="0" w:firstRowLastColumn="0" w:lastRowFirstColumn="0" w:lastRowLastColumn="0"/>
          <w:wAfter w:w="8" w:type="pct"/>
          <w:cantSplit/>
        </w:trPr>
        <w:tc>
          <w:tcPr>
            <w:cnfStyle w:val="001000000000" w:firstRow="0" w:lastRow="0" w:firstColumn="1" w:lastColumn="0" w:oddVBand="0" w:evenVBand="0" w:oddHBand="0" w:evenHBand="0" w:firstRowFirstColumn="0" w:firstRowLastColumn="0" w:lastRowFirstColumn="0" w:lastRowLastColumn="0"/>
            <w:tcW w:w="4992" w:type="pct"/>
            <w:gridSpan w:val="3"/>
            <w:shd w:val="clear" w:color="auto" w:fill="AEAAAA" w:themeFill="background2" w:themeFillShade="BF"/>
          </w:tcPr>
          <w:p w:rsidR="008139CB" w:rsidRPr="00262054" w:rsidRDefault="00262054" w:rsidP="00262054">
            <w:pPr>
              <w:rPr>
                <w:rFonts w:ascii="Arial" w:hAnsi="Arial" w:cs="Arial"/>
                <w:color w:val="auto"/>
                <w:sz w:val="20"/>
                <w:szCs w:val="20"/>
              </w:rPr>
            </w:pPr>
            <w:r w:rsidRPr="00262054">
              <w:rPr>
                <w:rFonts w:ascii="Arial" w:hAnsi="Arial" w:cs="Arial"/>
                <w:color w:val="auto"/>
                <w:sz w:val="20"/>
                <w:szCs w:val="20"/>
              </w:rPr>
              <w:lastRenderedPageBreak/>
              <w:t xml:space="preserve">4.0 FY2016 </w:t>
            </w:r>
            <w:r>
              <w:rPr>
                <w:rFonts w:ascii="Arial" w:hAnsi="Arial" w:cs="Arial"/>
                <w:color w:val="auto"/>
                <w:sz w:val="20"/>
                <w:szCs w:val="20"/>
              </w:rPr>
              <w:t>PDWG Administrative Initiatives</w:t>
            </w:r>
            <w:r w:rsidR="008139CB" w:rsidRPr="00262054">
              <w:rPr>
                <w:rFonts w:ascii="Arial" w:hAnsi="Arial" w:cs="Arial"/>
                <w:color w:val="auto"/>
                <w:sz w:val="20"/>
                <w:szCs w:val="20"/>
              </w:rPr>
              <w:t xml:space="preserve"> (</w:t>
            </w:r>
            <w:r w:rsidR="00856969" w:rsidRPr="00262054">
              <w:rPr>
                <w:rFonts w:ascii="Arial" w:hAnsi="Arial" w:cs="Arial"/>
                <w:color w:val="auto"/>
                <w:sz w:val="20"/>
                <w:szCs w:val="20"/>
              </w:rPr>
              <w:t>cont.</w:t>
            </w:r>
            <w:r w:rsidR="008139CB" w:rsidRPr="00262054">
              <w:rPr>
                <w:rFonts w:ascii="Arial" w:hAnsi="Arial" w:cs="Arial"/>
                <w:color w:val="auto"/>
                <w:sz w:val="20"/>
                <w:szCs w:val="20"/>
              </w:rPr>
              <w:t>):</w:t>
            </w:r>
          </w:p>
        </w:tc>
      </w:tr>
      <w:tr w:rsidR="008139CB" w:rsidRPr="00EC4E1C" w:rsidTr="00F52E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80" w:type="pct"/>
            <w:shd w:val="clear" w:color="auto" w:fill="auto"/>
          </w:tcPr>
          <w:p w:rsidR="008139CB" w:rsidRPr="00D165C5" w:rsidRDefault="008139CB" w:rsidP="00082073">
            <w:pPr>
              <w:keepNext/>
              <w:rPr>
                <w:rFonts w:ascii="Arial" w:hAnsi="Arial" w:cs="Arial"/>
                <w:b w:val="0"/>
                <w:sz w:val="20"/>
                <w:szCs w:val="20"/>
              </w:rPr>
            </w:pPr>
            <w:r w:rsidRPr="00D165C5">
              <w:rPr>
                <w:rFonts w:ascii="Arial" w:hAnsi="Arial" w:cs="Arial"/>
                <w:b w:val="0"/>
                <w:sz w:val="20"/>
                <w:szCs w:val="20"/>
              </w:rPr>
              <w:t>4.2 PDWG internal communications</w:t>
            </w:r>
          </w:p>
          <w:p w:rsidR="008139CB" w:rsidRPr="00EC4E1C" w:rsidRDefault="008139CB" w:rsidP="00082073">
            <w:pPr>
              <w:rPr>
                <w:rFonts w:ascii="Arial" w:hAnsi="Arial" w:cs="Arial"/>
                <w:sz w:val="20"/>
                <w:szCs w:val="20"/>
              </w:rPr>
            </w:pPr>
          </w:p>
        </w:tc>
        <w:tc>
          <w:tcPr>
            <w:tcW w:w="1654" w:type="pct"/>
            <w:shd w:val="clear" w:color="auto" w:fill="auto"/>
          </w:tcPr>
          <w:p w:rsidR="008139CB" w:rsidRPr="00EC4E1C" w:rsidRDefault="008139CB" w:rsidP="008139CB">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E1C">
              <w:rPr>
                <w:rFonts w:ascii="Arial" w:hAnsi="Arial" w:cs="Arial"/>
                <w:sz w:val="20"/>
                <w:szCs w:val="20"/>
              </w:rPr>
              <w:t xml:space="preserve">Information sharing, knowledge transfer and consistency of purpose in EFCOG activities to best support the DOE complex. </w:t>
            </w:r>
          </w:p>
          <w:p w:rsidR="008139CB" w:rsidRPr="00EC4E1C" w:rsidRDefault="008139CB" w:rsidP="008139CB">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EC4E1C">
              <w:rPr>
                <w:rFonts w:ascii="Arial" w:hAnsi="Arial" w:cs="Arial"/>
                <w:sz w:val="20"/>
                <w:szCs w:val="20"/>
              </w:rPr>
              <w:t>Topic specific workshop devel</w:t>
            </w:r>
            <w:r w:rsidR="00E25B03" w:rsidRPr="00EC4E1C">
              <w:rPr>
                <w:rFonts w:ascii="Arial" w:hAnsi="Arial" w:cs="Arial"/>
                <w:sz w:val="20"/>
                <w:szCs w:val="20"/>
              </w:rPr>
              <w:t>oped in coordination with DOE (</w:t>
            </w:r>
            <w:r w:rsidRPr="00EC4E1C">
              <w:rPr>
                <w:rFonts w:ascii="Arial" w:hAnsi="Arial" w:cs="Arial"/>
                <w:sz w:val="20"/>
                <w:szCs w:val="20"/>
              </w:rPr>
              <w:t>HQ and Field)</w:t>
            </w:r>
          </w:p>
          <w:p w:rsidR="008139CB" w:rsidRPr="00EC4E1C" w:rsidRDefault="008139CB" w:rsidP="00082073">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rsidR="008139CB" w:rsidRPr="00EC4E1C" w:rsidRDefault="008139CB" w:rsidP="00082073">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rsidR="008139CB" w:rsidRPr="00EC4E1C" w:rsidRDefault="008139CB" w:rsidP="000820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65" w:type="pct"/>
            <w:gridSpan w:val="2"/>
            <w:shd w:val="clear" w:color="auto" w:fill="auto"/>
          </w:tcPr>
          <w:p w:rsidR="008139CB" w:rsidRPr="00EC4E1C" w:rsidRDefault="00DB5D45" w:rsidP="008139CB">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E1C">
              <w:rPr>
                <w:rFonts w:ascii="Arial" w:hAnsi="Arial" w:cs="Arial"/>
                <w:sz w:val="20"/>
                <w:szCs w:val="20"/>
              </w:rPr>
              <w:t>4.2.1 Hold</w:t>
            </w:r>
            <w:r w:rsidR="008139CB" w:rsidRPr="00EC4E1C">
              <w:rPr>
                <w:rFonts w:ascii="Arial" w:hAnsi="Arial" w:cs="Arial"/>
                <w:sz w:val="20"/>
                <w:szCs w:val="20"/>
              </w:rPr>
              <w:t xml:space="preserve"> meetings (typically monthly) via email, conference call</w:t>
            </w:r>
            <w:r w:rsidR="00E25B03" w:rsidRPr="00EC4E1C">
              <w:rPr>
                <w:rFonts w:ascii="Arial" w:hAnsi="Arial" w:cs="Arial"/>
                <w:sz w:val="20"/>
                <w:szCs w:val="20"/>
              </w:rPr>
              <w:t xml:space="preserve"> or face-to-</w:t>
            </w:r>
            <w:r w:rsidR="008139CB" w:rsidRPr="00EC4E1C">
              <w:rPr>
                <w:rFonts w:ascii="Arial" w:hAnsi="Arial" w:cs="Arial"/>
                <w:sz w:val="20"/>
                <w:szCs w:val="20"/>
              </w:rPr>
              <w:t>face meetings as necessary to maintain active</w:t>
            </w:r>
            <w:r w:rsidRPr="00EC4E1C">
              <w:rPr>
                <w:rFonts w:ascii="Arial" w:hAnsi="Arial" w:cs="Arial"/>
                <w:sz w:val="20"/>
                <w:szCs w:val="20"/>
              </w:rPr>
              <w:t xml:space="preserve"> engagement, SME networking and complete specific deliverables</w:t>
            </w:r>
            <w:r w:rsidR="008139CB" w:rsidRPr="00EC4E1C">
              <w:rPr>
                <w:rFonts w:ascii="Arial" w:hAnsi="Arial" w:cs="Arial"/>
                <w:sz w:val="20"/>
                <w:szCs w:val="20"/>
              </w:rPr>
              <w:t>. Maintain and publish agenda and action item list</w:t>
            </w:r>
          </w:p>
          <w:p w:rsidR="008139CB" w:rsidRPr="00EC4E1C" w:rsidRDefault="008139CB" w:rsidP="008139CB">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139CB" w:rsidRPr="00EC4E1C" w:rsidRDefault="00B00A1D" w:rsidP="008139CB">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E1C">
              <w:rPr>
                <w:rFonts w:ascii="Arial" w:hAnsi="Arial" w:cs="Arial"/>
                <w:sz w:val="20"/>
                <w:szCs w:val="20"/>
              </w:rPr>
              <w:t>4.2.2</w:t>
            </w:r>
            <w:r w:rsidR="008139CB" w:rsidRPr="00EC4E1C">
              <w:rPr>
                <w:rFonts w:ascii="Arial" w:hAnsi="Arial" w:cs="Arial"/>
                <w:sz w:val="20"/>
                <w:szCs w:val="20"/>
              </w:rPr>
              <w:t xml:space="preserve"> Workshops and operational meetings twice per year aligned with the EFCOG General Session. Maintain and publish agenda, action item list and presented materials </w:t>
            </w:r>
          </w:p>
          <w:p w:rsidR="008139CB" w:rsidRPr="00EC4E1C" w:rsidRDefault="008139CB" w:rsidP="008139CB">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139CB" w:rsidRPr="00EC4E1C" w:rsidRDefault="00B00A1D" w:rsidP="008139CB">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E1C">
              <w:rPr>
                <w:rFonts w:ascii="Arial" w:hAnsi="Arial" w:cs="Arial"/>
                <w:sz w:val="20"/>
                <w:szCs w:val="20"/>
              </w:rPr>
              <w:t>4.2.3</w:t>
            </w:r>
            <w:r w:rsidR="008139CB" w:rsidRPr="00EC4E1C">
              <w:rPr>
                <w:rFonts w:ascii="Arial" w:hAnsi="Arial" w:cs="Arial"/>
                <w:sz w:val="20"/>
                <w:szCs w:val="20"/>
              </w:rPr>
              <w:t xml:space="preserve"> Posting of meeting minutes, presented materials and notices to working (or task) group website and/or EFCOG website, as appropriate</w:t>
            </w:r>
          </w:p>
          <w:p w:rsidR="008139CB" w:rsidRPr="00EC4E1C" w:rsidRDefault="008139CB" w:rsidP="008139CB">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139CB" w:rsidRPr="00EC4E1C" w:rsidRDefault="00B00A1D" w:rsidP="00082073">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4E1C">
              <w:rPr>
                <w:rFonts w:ascii="Arial" w:hAnsi="Arial" w:cs="Arial"/>
                <w:sz w:val="20"/>
                <w:szCs w:val="20"/>
              </w:rPr>
              <w:t>4.2.4</w:t>
            </w:r>
            <w:r w:rsidR="008139CB" w:rsidRPr="00EC4E1C">
              <w:rPr>
                <w:rFonts w:ascii="Arial" w:hAnsi="Arial" w:cs="Arial"/>
                <w:sz w:val="20"/>
                <w:szCs w:val="20"/>
              </w:rPr>
              <w:t xml:space="preserve"> Update and post Master PDWG contact list</w:t>
            </w:r>
          </w:p>
          <w:p w:rsidR="00651579" w:rsidRPr="00EC4E1C" w:rsidRDefault="00651579" w:rsidP="00082073">
            <w:pPr>
              <w:keepN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51579" w:rsidRPr="00EC4E1C" w:rsidRDefault="00EC4E1C" w:rsidP="00082073">
            <w:pPr>
              <w:keepNex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C4E1C">
              <w:rPr>
                <w:rFonts w:ascii="Arial" w:hAnsi="Arial" w:cs="Arial"/>
                <w:b/>
                <w:sz w:val="20"/>
                <w:szCs w:val="20"/>
              </w:rPr>
              <w:t>(250</w:t>
            </w:r>
            <w:r w:rsidR="00651579" w:rsidRPr="00EC4E1C">
              <w:rPr>
                <w:rFonts w:ascii="Arial" w:hAnsi="Arial" w:cs="Arial"/>
                <w:b/>
                <w:sz w:val="20"/>
                <w:szCs w:val="20"/>
              </w:rPr>
              <w:t xml:space="preserve"> Total Labor Hours)</w:t>
            </w:r>
          </w:p>
        </w:tc>
      </w:tr>
      <w:tr w:rsidR="00EE5206" w:rsidRPr="005E38D5" w:rsidTr="00F52EF2">
        <w:trPr>
          <w:cantSplit/>
        </w:trPr>
        <w:tc>
          <w:tcPr>
            <w:cnfStyle w:val="001000000000" w:firstRow="0" w:lastRow="0" w:firstColumn="1" w:lastColumn="0" w:oddVBand="0" w:evenVBand="0" w:oddHBand="0" w:evenHBand="0" w:firstRowFirstColumn="0" w:firstRowLastColumn="0" w:lastRowFirstColumn="0" w:lastRowLastColumn="0"/>
            <w:tcW w:w="1480" w:type="pct"/>
            <w:shd w:val="clear" w:color="auto" w:fill="auto"/>
          </w:tcPr>
          <w:p w:rsidR="00EE5206" w:rsidRPr="00D165C5" w:rsidRDefault="00EE5206" w:rsidP="00082073">
            <w:pPr>
              <w:keepNext/>
              <w:rPr>
                <w:rFonts w:ascii="Arial" w:hAnsi="Arial" w:cs="Arial"/>
                <w:b w:val="0"/>
                <w:sz w:val="20"/>
                <w:szCs w:val="20"/>
              </w:rPr>
            </w:pPr>
            <w:r w:rsidRPr="00D165C5">
              <w:rPr>
                <w:rFonts w:ascii="Arial" w:hAnsi="Arial" w:cs="Arial"/>
                <w:b w:val="0"/>
                <w:sz w:val="20"/>
                <w:szCs w:val="20"/>
              </w:rPr>
              <w:t>4.3 PDWG client communications</w:t>
            </w:r>
          </w:p>
        </w:tc>
        <w:tc>
          <w:tcPr>
            <w:tcW w:w="1654" w:type="pct"/>
            <w:shd w:val="clear" w:color="auto" w:fill="auto"/>
          </w:tcPr>
          <w:p w:rsidR="00EE5206" w:rsidRPr="00EC4E1C" w:rsidRDefault="00EE5206" w:rsidP="008139CB">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E1C">
              <w:rPr>
                <w:rFonts w:ascii="Arial" w:hAnsi="Arial" w:cs="Arial"/>
                <w:sz w:val="20"/>
                <w:szCs w:val="20"/>
              </w:rPr>
              <w:t xml:space="preserve">Information sharing, knowledge transfer and consistency of purpose in EFCOG activities to best </w:t>
            </w:r>
            <w:r w:rsidR="00DB5D45" w:rsidRPr="00EC4E1C">
              <w:rPr>
                <w:rFonts w:ascii="Arial" w:hAnsi="Arial" w:cs="Arial"/>
                <w:sz w:val="20"/>
                <w:szCs w:val="20"/>
              </w:rPr>
              <w:t>support the DOE complex</w:t>
            </w:r>
          </w:p>
        </w:tc>
        <w:tc>
          <w:tcPr>
            <w:tcW w:w="1866" w:type="pct"/>
            <w:gridSpan w:val="2"/>
            <w:shd w:val="clear" w:color="auto" w:fill="auto"/>
          </w:tcPr>
          <w:p w:rsidR="00EE5206" w:rsidRPr="00EC4E1C" w:rsidRDefault="00DB5D4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E1C">
              <w:rPr>
                <w:rFonts w:ascii="Arial" w:hAnsi="Arial" w:cs="Arial"/>
                <w:sz w:val="20"/>
                <w:szCs w:val="20"/>
              </w:rPr>
              <w:t xml:space="preserve">4.3.1 Communications with </w:t>
            </w:r>
            <w:r w:rsidR="00EE5206" w:rsidRPr="00EC4E1C">
              <w:rPr>
                <w:rFonts w:ascii="Arial" w:hAnsi="Arial" w:cs="Arial"/>
                <w:sz w:val="20"/>
                <w:szCs w:val="20"/>
              </w:rPr>
              <w:t>PDWG DOE Liaison Paul Bosco</w:t>
            </w:r>
            <w:r w:rsidRPr="00EC4E1C">
              <w:rPr>
                <w:rFonts w:ascii="Arial" w:hAnsi="Arial" w:cs="Arial"/>
                <w:sz w:val="20"/>
                <w:szCs w:val="20"/>
              </w:rPr>
              <w:t xml:space="preserve"> and </w:t>
            </w:r>
            <w:r w:rsidR="00EE5206" w:rsidRPr="00EC4E1C">
              <w:rPr>
                <w:rFonts w:ascii="Arial" w:hAnsi="Arial" w:cs="Arial"/>
                <w:sz w:val="20"/>
                <w:szCs w:val="20"/>
              </w:rPr>
              <w:t>DOE personnel and Task Sponsors as needed</w:t>
            </w:r>
          </w:p>
          <w:p w:rsidR="00EE5206" w:rsidRPr="00EC4E1C" w:rsidRDefault="00EE52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E5206" w:rsidRPr="00EC4E1C" w:rsidRDefault="00DB5D4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E1C">
              <w:rPr>
                <w:rFonts w:ascii="Arial" w:hAnsi="Arial" w:cs="Arial"/>
                <w:sz w:val="20"/>
                <w:szCs w:val="20"/>
              </w:rPr>
              <w:t>4.3.2</w:t>
            </w:r>
            <w:r w:rsidR="00EE5206" w:rsidRPr="00EC4E1C">
              <w:rPr>
                <w:rFonts w:ascii="Arial" w:hAnsi="Arial" w:cs="Arial"/>
                <w:sz w:val="20"/>
                <w:szCs w:val="20"/>
              </w:rPr>
              <w:t xml:space="preserve"> Reporting to DOE on EFCOG deliverables and best practices</w:t>
            </w:r>
          </w:p>
          <w:p w:rsidR="00EE5206" w:rsidRPr="00EC4E1C" w:rsidRDefault="00EE52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E5206" w:rsidRPr="00EC4E1C" w:rsidRDefault="00EE52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4E1C">
              <w:rPr>
                <w:rFonts w:ascii="Arial" w:hAnsi="Arial" w:cs="Arial"/>
                <w:sz w:val="20"/>
                <w:szCs w:val="20"/>
              </w:rPr>
              <w:t>4.3.</w:t>
            </w:r>
            <w:r w:rsidR="00DB5D45" w:rsidRPr="00EC4E1C">
              <w:rPr>
                <w:rFonts w:ascii="Arial" w:hAnsi="Arial" w:cs="Arial"/>
                <w:sz w:val="20"/>
                <w:szCs w:val="20"/>
              </w:rPr>
              <w:t>3</w:t>
            </w:r>
            <w:r w:rsidRPr="00EC4E1C">
              <w:rPr>
                <w:rFonts w:ascii="Arial" w:hAnsi="Arial" w:cs="Arial"/>
                <w:sz w:val="20"/>
                <w:szCs w:val="20"/>
              </w:rPr>
              <w:t xml:space="preserve"> Develop a communication zipper chart between EFCOG and DOE</w:t>
            </w:r>
          </w:p>
          <w:p w:rsidR="00EE5206" w:rsidRPr="00EC4E1C" w:rsidRDefault="00EE5206" w:rsidP="008139CB">
            <w:pPr>
              <w:keepN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F37FC8" w:rsidRPr="00EC4E1C" w:rsidRDefault="00F37FC8" w:rsidP="008139CB">
            <w:pPr>
              <w:keepNex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C4E1C">
              <w:rPr>
                <w:rFonts w:ascii="Arial" w:hAnsi="Arial" w:cs="Arial"/>
                <w:b/>
                <w:sz w:val="20"/>
                <w:szCs w:val="20"/>
              </w:rPr>
              <w:t>(</w:t>
            </w:r>
            <w:r w:rsidR="00EC4E1C" w:rsidRPr="00EC4E1C">
              <w:rPr>
                <w:rFonts w:ascii="Arial" w:hAnsi="Arial" w:cs="Arial"/>
                <w:b/>
                <w:sz w:val="20"/>
                <w:szCs w:val="20"/>
              </w:rPr>
              <w:t xml:space="preserve">125 </w:t>
            </w:r>
            <w:r w:rsidR="00DB5D45" w:rsidRPr="00EC4E1C">
              <w:rPr>
                <w:rFonts w:ascii="Arial" w:hAnsi="Arial" w:cs="Arial"/>
                <w:b/>
                <w:sz w:val="20"/>
                <w:szCs w:val="20"/>
              </w:rPr>
              <w:t>Total Labor Hours)</w:t>
            </w:r>
          </w:p>
        </w:tc>
      </w:tr>
    </w:tbl>
    <w:p w:rsidR="00350E23" w:rsidRDefault="00350E23"/>
    <w:p w:rsidR="00E25B03" w:rsidRDefault="00E25B03" w:rsidP="000A4772">
      <w:pPr>
        <w:spacing w:before="100" w:beforeAutospacing="1" w:after="100" w:afterAutospacing="1" w:line="240" w:lineRule="auto"/>
        <w:rPr>
          <w:rFonts w:ascii="Arial" w:eastAsia="Times New Roman" w:hAnsi="Arial" w:cs="Arial"/>
          <w:bCs/>
          <w:sz w:val="20"/>
          <w:szCs w:val="20"/>
        </w:rPr>
      </w:pPr>
    </w:p>
    <w:p w:rsidR="00E25B03" w:rsidRDefault="00E25B03" w:rsidP="000A4772">
      <w:pPr>
        <w:spacing w:before="100" w:beforeAutospacing="1" w:after="100" w:afterAutospacing="1" w:line="240" w:lineRule="auto"/>
        <w:rPr>
          <w:rFonts w:ascii="Arial" w:eastAsia="Times New Roman" w:hAnsi="Arial" w:cs="Arial"/>
          <w:bCs/>
          <w:sz w:val="20"/>
          <w:szCs w:val="20"/>
        </w:rPr>
      </w:pPr>
    </w:p>
    <w:p w:rsidR="00E25B03" w:rsidRDefault="00E25B03" w:rsidP="000A4772">
      <w:pPr>
        <w:spacing w:before="100" w:beforeAutospacing="1" w:after="100" w:afterAutospacing="1" w:line="240" w:lineRule="auto"/>
        <w:rPr>
          <w:rFonts w:ascii="Arial" w:eastAsia="Times New Roman" w:hAnsi="Arial" w:cs="Arial"/>
          <w:bCs/>
          <w:sz w:val="20"/>
          <w:szCs w:val="20"/>
        </w:rPr>
      </w:pPr>
    </w:p>
    <w:p w:rsidR="00272BEC" w:rsidRDefault="00272BEC" w:rsidP="000A4772">
      <w:pPr>
        <w:spacing w:before="100" w:beforeAutospacing="1" w:after="100" w:afterAutospacing="1" w:line="240" w:lineRule="auto"/>
        <w:rPr>
          <w:rFonts w:ascii="Arial" w:eastAsia="Times New Roman" w:hAnsi="Arial" w:cs="Arial"/>
          <w:bCs/>
          <w:sz w:val="20"/>
          <w:szCs w:val="20"/>
        </w:rPr>
      </w:pPr>
    </w:p>
    <w:p w:rsidR="00F16982" w:rsidRDefault="00F16982">
      <w:pPr>
        <w:rPr>
          <w:rFonts w:ascii="Arial" w:eastAsia="Times New Roman" w:hAnsi="Arial" w:cs="Arial"/>
          <w:bCs/>
          <w:sz w:val="20"/>
          <w:szCs w:val="20"/>
        </w:rPr>
      </w:pPr>
      <w:r>
        <w:rPr>
          <w:rFonts w:ascii="Arial" w:eastAsia="Times New Roman" w:hAnsi="Arial" w:cs="Arial"/>
          <w:bCs/>
          <w:sz w:val="20"/>
          <w:szCs w:val="20"/>
        </w:rPr>
        <w:br w:type="page"/>
      </w:r>
    </w:p>
    <w:p w:rsidR="000A4772" w:rsidRDefault="000A4772" w:rsidP="000A477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lastRenderedPageBreak/>
        <w:t>Additional Information:</w:t>
      </w:r>
    </w:p>
    <w:p w:rsidR="000A4772" w:rsidRDefault="000A4772" w:rsidP="000A477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Management and coordination of PDWG activities. This element supports leadership and coordination of working group activities, including interface with </w:t>
      </w:r>
      <w:r w:rsidR="004864DA">
        <w:rPr>
          <w:rFonts w:ascii="Arial" w:eastAsia="Times New Roman" w:hAnsi="Arial" w:cs="Arial"/>
          <w:bCs/>
          <w:sz w:val="20"/>
          <w:szCs w:val="20"/>
        </w:rPr>
        <w:t xml:space="preserve">the </w:t>
      </w:r>
      <w:r>
        <w:rPr>
          <w:rFonts w:ascii="Arial" w:eastAsia="Times New Roman" w:hAnsi="Arial" w:cs="Arial"/>
          <w:bCs/>
          <w:sz w:val="20"/>
          <w:szCs w:val="20"/>
        </w:rPr>
        <w:t>DOE Liaison and task sponsors.  Routine (typically monthly) conference calls are used to coordinate operat</w:t>
      </w:r>
      <w:r w:rsidR="00000ACF">
        <w:rPr>
          <w:rFonts w:ascii="Arial" w:eastAsia="Times New Roman" w:hAnsi="Arial" w:cs="Arial"/>
          <w:bCs/>
          <w:sz w:val="20"/>
          <w:szCs w:val="20"/>
        </w:rPr>
        <w:t>ional tasks and focus areas, as well as</w:t>
      </w:r>
      <w:r>
        <w:rPr>
          <w:rFonts w:ascii="Arial" w:eastAsia="Times New Roman" w:hAnsi="Arial" w:cs="Arial"/>
          <w:bCs/>
          <w:sz w:val="20"/>
          <w:szCs w:val="20"/>
        </w:rPr>
        <w:t xml:space="preserve"> to disseminate information across the working group membership.  Remote methods will be used as much as possible for task-specific work activities.  Face-to-face meeting</w:t>
      </w:r>
      <w:r w:rsidR="00525B3B">
        <w:rPr>
          <w:rFonts w:ascii="Arial" w:eastAsia="Times New Roman" w:hAnsi="Arial" w:cs="Arial"/>
          <w:bCs/>
          <w:sz w:val="20"/>
          <w:szCs w:val="20"/>
        </w:rPr>
        <w:t>s</w:t>
      </w:r>
      <w:r>
        <w:rPr>
          <w:rFonts w:ascii="Arial" w:eastAsia="Times New Roman" w:hAnsi="Arial" w:cs="Arial"/>
          <w:bCs/>
          <w:sz w:val="20"/>
          <w:szCs w:val="20"/>
        </w:rPr>
        <w:t xml:space="preserve"> will be conducted as determined to be cost-effective to support development of specific deliverables.  Focused meetings may be conducted in conjunction with other conferences/meetings in an effort to minimize costs to the government.  It is anticipated that new tasks will be added and ad hoc tasks may be identified as emerging issues are recommended by the working group or requested by DOE and coordinated with the DOE Liaison.  An annual report will be prepared that describes accomplishments.  Planning for </w:t>
      </w:r>
      <w:r w:rsidR="00F43491">
        <w:rPr>
          <w:rFonts w:ascii="Arial" w:eastAsia="Times New Roman" w:hAnsi="Arial" w:cs="Arial"/>
          <w:bCs/>
          <w:sz w:val="20"/>
          <w:szCs w:val="20"/>
        </w:rPr>
        <w:t>FY2017</w:t>
      </w:r>
      <w:r>
        <w:rPr>
          <w:rFonts w:ascii="Arial" w:eastAsia="Times New Roman" w:hAnsi="Arial" w:cs="Arial"/>
          <w:bCs/>
          <w:sz w:val="20"/>
          <w:szCs w:val="20"/>
        </w:rPr>
        <w:t xml:space="preserve"> focus areas will be conducted, resulting in an Annual Work Plan for </w:t>
      </w:r>
      <w:r w:rsidR="00F43491">
        <w:rPr>
          <w:rFonts w:ascii="Arial" w:eastAsia="Times New Roman" w:hAnsi="Arial" w:cs="Arial"/>
          <w:bCs/>
          <w:sz w:val="20"/>
          <w:szCs w:val="20"/>
        </w:rPr>
        <w:t>FY2017</w:t>
      </w:r>
      <w:r>
        <w:rPr>
          <w:rFonts w:ascii="Arial" w:eastAsia="Times New Roman" w:hAnsi="Arial" w:cs="Arial"/>
          <w:bCs/>
          <w:sz w:val="20"/>
          <w:szCs w:val="20"/>
        </w:rPr>
        <w:t>.  It is anticipated that two working g</w:t>
      </w:r>
      <w:r w:rsidR="00000ACF">
        <w:rPr>
          <w:rFonts w:ascii="Arial" w:eastAsia="Times New Roman" w:hAnsi="Arial" w:cs="Arial"/>
          <w:bCs/>
          <w:sz w:val="20"/>
          <w:szCs w:val="20"/>
        </w:rPr>
        <w:t>roup</w:t>
      </w:r>
      <w:r>
        <w:rPr>
          <w:rFonts w:ascii="Arial" w:eastAsia="Times New Roman" w:hAnsi="Arial" w:cs="Arial"/>
          <w:bCs/>
          <w:sz w:val="20"/>
          <w:szCs w:val="20"/>
        </w:rPr>
        <w:t xml:space="preserve"> meetings will be held in</w:t>
      </w:r>
      <w:r w:rsidR="00E44548">
        <w:rPr>
          <w:rFonts w:ascii="Arial" w:eastAsia="Times New Roman" w:hAnsi="Arial" w:cs="Arial"/>
          <w:bCs/>
          <w:sz w:val="20"/>
          <w:szCs w:val="20"/>
        </w:rPr>
        <w:t xml:space="preserve"> </w:t>
      </w:r>
      <w:r w:rsidR="0038391B">
        <w:rPr>
          <w:rFonts w:ascii="Arial" w:eastAsia="Times New Roman" w:hAnsi="Arial" w:cs="Arial"/>
          <w:bCs/>
          <w:sz w:val="20"/>
          <w:szCs w:val="20"/>
        </w:rPr>
        <w:t>FY2016</w:t>
      </w:r>
      <w:r w:rsidR="00D23508">
        <w:rPr>
          <w:rFonts w:ascii="Arial" w:eastAsia="Times New Roman" w:hAnsi="Arial" w:cs="Arial"/>
          <w:bCs/>
          <w:sz w:val="20"/>
          <w:szCs w:val="20"/>
        </w:rPr>
        <w:t xml:space="preserve">.  </w:t>
      </w:r>
      <w:r>
        <w:rPr>
          <w:rFonts w:ascii="Arial" w:eastAsia="Times New Roman" w:hAnsi="Arial" w:cs="Arial"/>
          <w:bCs/>
          <w:sz w:val="20"/>
          <w:szCs w:val="20"/>
        </w:rPr>
        <w:t>EFCOG workshops</w:t>
      </w:r>
      <w:r w:rsidR="00D23508">
        <w:rPr>
          <w:rFonts w:ascii="Arial" w:eastAsia="Times New Roman" w:hAnsi="Arial" w:cs="Arial"/>
          <w:bCs/>
          <w:sz w:val="20"/>
          <w:szCs w:val="20"/>
        </w:rPr>
        <w:t xml:space="preserve">, </w:t>
      </w:r>
      <w:r>
        <w:rPr>
          <w:rFonts w:ascii="Arial" w:eastAsia="Times New Roman" w:hAnsi="Arial" w:cs="Arial"/>
          <w:bCs/>
          <w:sz w:val="20"/>
          <w:szCs w:val="20"/>
        </w:rPr>
        <w:t>PDWG working meetings</w:t>
      </w:r>
      <w:r w:rsidR="00D23508">
        <w:rPr>
          <w:rFonts w:ascii="Arial" w:eastAsia="Times New Roman" w:hAnsi="Arial" w:cs="Arial"/>
          <w:bCs/>
          <w:sz w:val="20"/>
          <w:szCs w:val="20"/>
        </w:rPr>
        <w:t xml:space="preserve">, and </w:t>
      </w:r>
      <w:r>
        <w:rPr>
          <w:rFonts w:ascii="Arial" w:eastAsia="Times New Roman" w:hAnsi="Arial" w:cs="Arial"/>
          <w:bCs/>
          <w:sz w:val="20"/>
          <w:szCs w:val="20"/>
        </w:rPr>
        <w:t>working/planning session</w:t>
      </w:r>
      <w:r w:rsidR="00D23508">
        <w:rPr>
          <w:rFonts w:ascii="Arial" w:eastAsia="Times New Roman" w:hAnsi="Arial" w:cs="Arial"/>
          <w:bCs/>
          <w:sz w:val="20"/>
          <w:szCs w:val="20"/>
        </w:rPr>
        <w:t>s</w:t>
      </w:r>
      <w:r>
        <w:rPr>
          <w:rFonts w:ascii="Arial" w:eastAsia="Times New Roman" w:hAnsi="Arial" w:cs="Arial"/>
          <w:bCs/>
          <w:sz w:val="20"/>
          <w:szCs w:val="20"/>
        </w:rPr>
        <w:t xml:space="preserve"> </w:t>
      </w:r>
      <w:r w:rsidR="00D23508">
        <w:rPr>
          <w:rFonts w:ascii="Arial" w:eastAsia="Times New Roman" w:hAnsi="Arial" w:cs="Arial"/>
          <w:bCs/>
          <w:sz w:val="20"/>
          <w:szCs w:val="20"/>
        </w:rPr>
        <w:t xml:space="preserve">will coincide with the </w:t>
      </w:r>
      <w:r>
        <w:rPr>
          <w:rFonts w:ascii="Arial" w:eastAsia="Times New Roman" w:hAnsi="Arial" w:cs="Arial"/>
          <w:bCs/>
          <w:sz w:val="20"/>
          <w:szCs w:val="20"/>
        </w:rPr>
        <w:t>EFCOG Annual Meeting</w:t>
      </w:r>
      <w:r w:rsidR="00D23508">
        <w:rPr>
          <w:rFonts w:ascii="Arial" w:eastAsia="Times New Roman" w:hAnsi="Arial" w:cs="Arial"/>
          <w:bCs/>
          <w:sz w:val="20"/>
          <w:szCs w:val="20"/>
        </w:rPr>
        <w:t>s.</w:t>
      </w:r>
    </w:p>
    <w:p w:rsidR="007F2BC5" w:rsidRDefault="007F2BC5" w:rsidP="00B743C9">
      <w:pPr>
        <w:rPr>
          <w:rFonts w:ascii="Franklin Gothic Book" w:eastAsia="Times New Roman" w:hAnsi="Franklin Gothic Book" w:cs="Times New Roman"/>
          <w:sz w:val="20"/>
          <w:szCs w:val="20"/>
          <w:lang w:bidi="en-US"/>
        </w:rPr>
      </w:pPr>
    </w:p>
    <w:sectPr w:rsidR="007F2BC5" w:rsidSect="00623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EA" w:rsidRDefault="00BC19EA" w:rsidP="00DF4709">
      <w:pPr>
        <w:spacing w:after="0" w:line="240" w:lineRule="auto"/>
      </w:pPr>
      <w:r>
        <w:separator/>
      </w:r>
    </w:p>
  </w:endnote>
  <w:endnote w:type="continuationSeparator" w:id="0">
    <w:p w:rsidR="00BC19EA" w:rsidRDefault="00BC19EA" w:rsidP="00DF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0F" w:rsidRDefault="001F500F">
    <w:pPr>
      <w:pStyle w:val="Footer"/>
      <w:jc w:val="center"/>
      <w:rPr>
        <w:color w:val="5B9BD5" w:themeColor="accent1"/>
      </w:rPr>
    </w:pPr>
    <w:r>
      <w:rPr>
        <w:color w:val="5B9BD5" w:themeColor="accent1"/>
      </w:rPr>
      <w:t xml:space="preserve">Page </w:t>
    </w:r>
    <w:r w:rsidR="00CE1142">
      <w:rPr>
        <w:color w:val="5B9BD5" w:themeColor="accent1"/>
      </w:rPr>
      <w:fldChar w:fldCharType="begin"/>
    </w:r>
    <w:r>
      <w:rPr>
        <w:color w:val="5B9BD5" w:themeColor="accent1"/>
      </w:rPr>
      <w:instrText xml:space="preserve"> PAGE  \* Arabic  \* MERGEFORMAT </w:instrText>
    </w:r>
    <w:r w:rsidR="00CE1142">
      <w:rPr>
        <w:color w:val="5B9BD5" w:themeColor="accent1"/>
      </w:rPr>
      <w:fldChar w:fldCharType="separate"/>
    </w:r>
    <w:r w:rsidR="005E6194">
      <w:rPr>
        <w:noProof/>
        <w:color w:val="5B9BD5" w:themeColor="accent1"/>
      </w:rPr>
      <w:t>1</w:t>
    </w:r>
    <w:r w:rsidR="00CE1142">
      <w:rPr>
        <w:color w:val="5B9BD5" w:themeColor="accent1"/>
      </w:rPr>
      <w:fldChar w:fldCharType="end"/>
    </w:r>
    <w:r>
      <w:rPr>
        <w:color w:val="5B9BD5" w:themeColor="accent1"/>
      </w:rPr>
      <w:t xml:space="preserve"> of </w:t>
    </w:r>
    <w:fldSimple w:instr=" NUMPAGES  \* Arabic  \* MERGEFORMAT ">
      <w:r w:rsidR="005E6194" w:rsidRPr="005E6194">
        <w:rPr>
          <w:noProof/>
          <w:color w:val="5B9BD5" w:themeColor="accent1"/>
        </w:rPr>
        <w:t>6</w:t>
      </w:r>
    </w:fldSimple>
  </w:p>
  <w:p w:rsidR="001F500F" w:rsidRDefault="001F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EA" w:rsidRDefault="00BC19EA" w:rsidP="00DF4709">
      <w:pPr>
        <w:spacing w:after="0" w:line="240" w:lineRule="auto"/>
      </w:pPr>
      <w:r>
        <w:separator/>
      </w:r>
    </w:p>
  </w:footnote>
  <w:footnote w:type="continuationSeparator" w:id="0">
    <w:p w:rsidR="00BC19EA" w:rsidRDefault="00BC19EA" w:rsidP="00DF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0F" w:rsidRPr="001C51DE" w:rsidRDefault="001F500F" w:rsidP="008447B3">
    <w:pPr>
      <w:pStyle w:val="Header"/>
      <w:tabs>
        <w:tab w:val="left" w:pos="4845"/>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0AC840"/>
    <w:lvl w:ilvl="0">
      <w:numFmt w:val="bullet"/>
      <w:lvlText w:val="*"/>
      <w:lvlJc w:val="left"/>
      <w:pPr>
        <w:ind w:left="0" w:firstLine="0"/>
      </w:pPr>
    </w:lvl>
  </w:abstractNum>
  <w:abstractNum w:abstractNumId="1" w15:restartNumberingAfterBreak="0">
    <w:nsid w:val="05AA0BC6"/>
    <w:multiLevelType w:val="hybridMultilevel"/>
    <w:tmpl w:val="2ABA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F23"/>
    <w:multiLevelType w:val="hybridMultilevel"/>
    <w:tmpl w:val="6AEC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389C"/>
    <w:multiLevelType w:val="hybridMultilevel"/>
    <w:tmpl w:val="A984C746"/>
    <w:lvl w:ilvl="0" w:tplc="8C541DC6">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A4AAF"/>
    <w:multiLevelType w:val="hybridMultilevel"/>
    <w:tmpl w:val="023C347C"/>
    <w:lvl w:ilvl="0" w:tplc="B95C737E">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03524"/>
    <w:multiLevelType w:val="hybridMultilevel"/>
    <w:tmpl w:val="9398C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53205B"/>
    <w:multiLevelType w:val="hybridMultilevel"/>
    <w:tmpl w:val="0F9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92758"/>
    <w:multiLevelType w:val="multilevel"/>
    <w:tmpl w:val="4454B0C2"/>
    <w:lvl w:ilvl="0">
      <w:start w:val="2"/>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46580"/>
    <w:multiLevelType w:val="hybridMultilevel"/>
    <w:tmpl w:val="7A66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2B3356"/>
    <w:multiLevelType w:val="hybridMultilevel"/>
    <w:tmpl w:val="3F4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2704F"/>
    <w:multiLevelType w:val="hybridMultilevel"/>
    <w:tmpl w:val="9398C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5110E5"/>
    <w:multiLevelType w:val="hybridMultilevel"/>
    <w:tmpl w:val="10666A32"/>
    <w:lvl w:ilvl="0" w:tplc="30EA0444">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501A"/>
    <w:multiLevelType w:val="hybridMultilevel"/>
    <w:tmpl w:val="7966D460"/>
    <w:lvl w:ilvl="0" w:tplc="A718D7C0">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95C38"/>
    <w:multiLevelType w:val="hybridMultilevel"/>
    <w:tmpl w:val="114CDD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9682B"/>
    <w:multiLevelType w:val="multilevel"/>
    <w:tmpl w:val="0E5067DA"/>
    <w:lvl w:ilvl="0">
      <w:start w:val="2"/>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1A5246"/>
    <w:multiLevelType w:val="hybridMultilevel"/>
    <w:tmpl w:val="010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90468"/>
    <w:multiLevelType w:val="hybridMultilevel"/>
    <w:tmpl w:val="822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EF5D75"/>
    <w:multiLevelType w:val="hybridMultilevel"/>
    <w:tmpl w:val="389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E360D"/>
    <w:multiLevelType w:val="multilevel"/>
    <w:tmpl w:val="C1FEB93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CE3AEE"/>
    <w:multiLevelType w:val="hybridMultilevel"/>
    <w:tmpl w:val="96E68862"/>
    <w:lvl w:ilvl="0" w:tplc="87F06E7A">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85FDD"/>
    <w:multiLevelType w:val="hybridMultilevel"/>
    <w:tmpl w:val="F5B82C5C"/>
    <w:lvl w:ilvl="0" w:tplc="04090001">
      <w:start w:val="1"/>
      <w:numFmt w:val="bullet"/>
      <w:lvlText w:val=""/>
      <w:lvlJc w:val="left"/>
      <w:pPr>
        <w:ind w:left="1080" w:hanging="360"/>
      </w:pPr>
      <w:rPr>
        <w:rFonts w:ascii="Symbol" w:hAnsi="Symbol" w:hint="default"/>
      </w:rPr>
    </w:lvl>
    <w:lvl w:ilvl="1" w:tplc="35DCA87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3727B"/>
    <w:multiLevelType w:val="hybridMultilevel"/>
    <w:tmpl w:val="65329072"/>
    <w:lvl w:ilvl="0" w:tplc="884C4814">
      <w:start w:val="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45A15"/>
    <w:multiLevelType w:val="hybridMultilevel"/>
    <w:tmpl w:val="4EEE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639B1"/>
    <w:multiLevelType w:val="hybridMultilevel"/>
    <w:tmpl w:val="DB643160"/>
    <w:lvl w:ilvl="0" w:tplc="85B01982">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43E75"/>
    <w:multiLevelType w:val="hybridMultilevel"/>
    <w:tmpl w:val="B6EAC544"/>
    <w:lvl w:ilvl="0" w:tplc="96BA0734">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60E79"/>
    <w:multiLevelType w:val="hybridMultilevel"/>
    <w:tmpl w:val="A58692CA"/>
    <w:lvl w:ilvl="0" w:tplc="703E6E9A">
      <w:start w:val="201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41C93"/>
    <w:multiLevelType w:val="hybridMultilevel"/>
    <w:tmpl w:val="77C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E2D9B"/>
    <w:multiLevelType w:val="hybridMultilevel"/>
    <w:tmpl w:val="79C0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4D729D"/>
    <w:multiLevelType w:val="hybridMultilevel"/>
    <w:tmpl w:val="8C9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B19B1"/>
    <w:multiLevelType w:val="hybridMultilevel"/>
    <w:tmpl w:val="EAB2552C"/>
    <w:lvl w:ilvl="0" w:tplc="04090001">
      <w:start w:val="1"/>
      <w:numFmt w:val="bullet"/>
      <w:lvlText w:val=""/>
      <w:lvlJc w:val="left"/>
      <w:pPr>
        <w:ind w:left="1080" w:hanging="360"/>
      </w:pPr>
      <w:rPr>
        <w:rFonts w:ascii="Symbol" w:hAnsi="Symbol" w:hint="default"/>
      </w:rPr>
    </w:lvl>
    <w:lvl w:ilvl="1" w:tplc="35DCA87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F15B84"/>
    <w:multiLevelType w:val="hybridMultilevel"/>
    <w:tmpl w:val="44BEA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F7CD5"/>
    <w:multiLevelType w:val="hybridMultilevel"/>
    <w:tmpl w:val="952A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C780F"/>
    <w:multiLevelType w:val="multilevel"/>
    <w:tmpl w:val="43C68490"/>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1ED5755"/>
    <w:multiLevelType w:val="hybridMultilevel"/>
    <w:tmpl w:val="59FA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4143E"/>
    <w:multiLevelType w:val="hybridMultilevel"/>
    <w:tmpl w:val="E202F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A3734"/>
    <w:multiLevelType w:val="hybridMultilevel"/>
    <w:tmpl w:val="FB38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54933"/>
    <w:multiLevelType w:val="multilevel"/>
    <w:tmpl w:val="DB38951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0"/>
  </w:num>
  <w:num w:numId="2">
    <w:abstractNumId w:val="29"/>
  </w:num>
  <w:num w:numId="3">
    <w:abstractNumId w:val="13"/>
  </w:num>
  <w:num w:numId="4">
    <w:abstractNumId w:val="22"/>
  </w:num>
  <w:num w:numId="5">
    <w:abstractNumId w:val="34"/>
  </w:num>
  <w:num w:numId="6">
    <w:abstractNumId w:val="1"/>
  </w:num>
  <w:num w:numId="7">
    <w:abstractNumId w:val="33"/>
  </w:num>
  <w:num w:numId="8">
    <w:abstractNumId w:val="21"/>
  </w:num>
  <w:num w:numId="9">
    <w:abstractNumId w:val="36"/>
  </w:num>
  <w:num w:numId="10">
    <w:abstractNumId w:val="3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5"/>
  </w:num>
  <w:num w:numId="15">
    <w:abstractNumId w:val="7"/>
  </w:num>
  <w:num w:numId="16">
    <w:abstractNumId w:val="14"/>
  </w:num>
  <w:num w:numId="17">
    <w:abstractNumId w:val="18"/>
  </w:num>
  <w:num w:numId="18">
    <w:abstractNumId w:val="16"/>
  </w:num>
  <w:num w:numId="19">
    <w:abstractNumId w:val="27"/>
  </w:num>
  <w:num w:numId="20">
    <w:abstractNumId w:val="15"/>
  </w:num>
  <w:num w:numId="21">
    <w:abstractNumId w:val="17"/>
  </w:num>
  <w:num w:numId="22">
    <w:abstractNumId w:val="0"/>
    <w:lvlOverride w:ilvl="0">
      <w:lvl w:ilvl="0">
        <w:numFmt w:val="bullet"/>
        <w:lvlText w:val=""/>
        <w:legacy w:legacy="1" w:legacySpace="0" w:legacyIndent="240"/>
        <w:lvlJc w:val="left"/>
        <w:pPr>
          <w:ind w:left="0" w:firstLine="0"/>
        </w:pPr>
        <w:rPr>
          <w:rFonts w:ascii="Symbol" w:hAnsi="Symbol" w:hint="default"/>
        </w:rPr>
      </w:lvl>
    </w:lvlOverride>
  </w:num>
  <w:num w:numId="23">
    <w:abstractNumId w:val="6"/>
  </w:num>
  <w:num w:numId="24">
    <w:abstractNumId w:val="26"/>
  </w:num>
  <w:num w:numId="25">
    <w:abstractNumId w:val="25"/>
  </w:num>
  <w:num w:numId="26">
    <w:abstractNumId w:val="0"/>
    <w:lvlOverride w:ilvl="0">
      <w:lvl w:ilvl="0">
        <w:numFmt w:val="bullet"/>
        <w:lvlText w:val=""/>
        <w:legacy w:legacy="1" w:legacySpace="0" w:legacyIndent="240"/>
        <w:lvlJc w:val="left"/>
        <w:pPr>
          <w:ind w:left="0" w:firstLine="0"/>
        </w:pPr>
        <w:rPr>
          <w:rFonts w:ascii="Symbol" w:hAnsi="Symbol" w:hint="default"/>
        </w:rPr>
      </w:lvl>
    </w:lvlOverride>
  </w:num>
  <w:num w:numId="27">
    <w:abstractNumId w:val="2"/>
  </w:num>
  <w:num w:numId="28">
    <w:abstractNumId w:val="35"/>
  </w:num>
  <w:num w:numId="29">
    <w:abstractNumId w:val="4"/>
  </w:num>
  <w:num w:numId="30">
    <w:abstractNumId w:val="24"/>
  </w:num>
  <w:num w:numId="31">
    <w:abstractNumId w:val="31"/>
  </w:num>
  <w:num w:numId="32">
    <w:abstractNumId w:val="19"/>
  </w:num>
  <w:num w:numId="33">
    <w:abstractNumId w:val="23"/>
  </w:num>
  <w:num w:numId="34">
    <w:abstractNumId w:val="12"/>
  </w:num>
  <w:num w:numId="35">
    <w:abstractNumId w:val="28"/>
  </w:num>
  <w:num w:numId="36">
    <w:abstractNumId w:val="9"/>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9"/>
    <w:rsid w:val="00000ACF"/>
    <w:rsid w:val="00002903"/>
    <w:rsid w:val="00007543"/>
    <w:rsid w:val="0001186B"/>
    <w:rsid w:val="000138A1"/>
    <w:rsid w:val="00015CBE"/>
    <w:rsid w:val="000173EF"/>
    <w:rsid w:val="000232F5"/>
    <w:rsid w:val="00024408"/>
    <w:rsid w:val="0003356A"/>
    <w:rsid w:val="00036E56"/>
    <w:rsid w:val="00037224"/>
    <w:rsid w:val="000374C1"/>
    <w:rsid w:val="000406CD"/>
    <w:rsid w:val="00041B74"/>
    <w:rsid w:val="00043357"/>
    <w:rsid w:val="000439E6"/>
    <w:rsid w:val="00045F3E"/>
    <w:rsid w:val="000504B8"/>
    <w:rsid w:val="000532F4"/>
    <w:rsid w:val="000562B7"/>
    <w:rsid w:val="000615CB"/>
    <w:rsid w:val="00067779"/>
    <w:rsid w:val="0006793E"/>
    <w:rsid w:val="00072E34"/>
    <w:rsid w:val="000757C2"/>
    <w:rsid w:val="00081217"/>
    <w:rsid w:val="000823AE"/>
    <w:rsid w:val="00082C03"/>
    <w:rsid w:val="00083F1F"/>
    <w:rsid w:val="00085553"/>
    <w:rsid w:val="00085E32"/>
    <w:rsid w:val="000A1A55"/>
    <w:rsid w:val="000A4772"/>
    <w:rsid w:val="000A7BBC"/>
    <w:rsid w:val="000B4853"/>
    <w:rsid w:val="000B56C1"/>
    <w:rsid w:val="000B59CB"/>
    <w:rsid w:val="000C2B47"/>
    <w:rsid w:val="000D094F"/>
    <w:rsid w:val="000D0A73"/>
    <w:rsid w:val="000D4CEA"/>
    <w:rsid w:val="000D57DB"/>
    <w:rsid w:val="000D7EFE"/>
    <w:rsid w:val="000E0202"/>
    <w:rsid w:val="000E2E99"/>
    <w:rsid w:val="000E31B9"/>
    <w:rsid w:val="000E41A3"/>
    <w:rsid w:val="000E6317"/>
    <w:rsid w:val="000F00CF"/>
    <w:rsid w:val="000F153A"/>
    <w:rsid w:val="000F5FF1"/>
    <w:rsid w:val="00110392"/>
    <w:rsid w:val="00111AB0"/>
    <w:rsid w:val="00112C84"/>
    <w:rsid w:val="00113F54"/>
    <w:rsid w:val="00120218"/>
    <w:rsid w:val="00120C3A"/>
    <w:rsid w:val="00123B14"/>
    <w:rsid w:val="00123B36"/>
    <w:rsid w:val="001266F3"/>
    <w:rsid w:val="0013202B"/>
    <w:rsid w:val="0014066A"/>
    <w:rsid w:val="001432C4"/>
    <w:rsid w:val="00143D69"/>
    <w:rsid w:val="00145658"/>
    <w:rsid w:val="0015072C"/>
    <w:rsid w:val="001508F8"/>
    <w:rsid w:val="00150CD1"/>
    <w:rsid w:val="00157274"/>
    <w:rsid w:val="00163DE9"/>
    <w:rsid w:val="00166E1C"/>
    <w:rsid w:val="00167B71"/>
    <w:rsid w:val="0017450E"/>
    <w:rsid w:val="001751BC"/>
    <w:rsid w:val="00177F8A"/>
    <w:rsid w:val="0018401D"/>
    <w:rsid w:val="001849E5"/>
    <w:rsid w:val="00184B7F"/>
    <w:rsid w:val="001914FC"/>
    <w:rsid w:val="00195D29"/>
    <w:rsid w:val="00195D7F"/>
    <w:rsid w:val="001972DD"/>
    <w:rsid w:val="001A0BFC"/>
    <w:rsid w:val="001A1170"/>
    <w:rsid w:val="001A3756"/>
    <w:rsid w:val="001B2646"/>
    <w:rsid w:val="001B3E1B"/>
    <w:rsid w:val="001B43BC"/>
    <w:rsid w:val="001C3D7F"/>
    <w:rsid w:val="001C65B4"/>
    <w:rsid w:val="001C67F4"/>
    <w:rsid w:val="001D267E"/>
    <w:rsid w:val="001D4397"/>
    <w:rsid w:val="001D5159"/>
    <w:rsid w:val="001D7830"/>
    <w:rsid w:val="001E0977"/>
    <w:rsid w:val="001E0DD8"/>
    <w:rsid w:val="001E49CF"/>
    <w:rsid w:val="001E6203"/>
    <w:rsid w:val="001E70C3"/>
    <w:rsid w:val="001F02AF"/>
    <w:rsid w:val="001F1E61"/>
    <w:rsid w:val="001F204B"/>
    <w:rsid w:val="001F500F"/>
    <w:rsid w:val="00200586"/>
    <w:rsid w:val="00202587"/>
    <w:rsid w:val="00203AD1"/>
    <w:rsid w:val="0020748A"/>
    <w:rsid w:val="002106C7"/>
    <w:rsid w:val="0021374E"/>
    <w:rsid w:val="002154D1"/>
    <w:rsid w:val="00216DF3"/>
    <w:rsid w:val="00220983"/>
    <w:rsid w:val="00223371"/>
    <w:rsid w:val="0023117A"/>
    <w:rsid w:val="0023516B"/>
    <w:rsid w:val="00236373"/>
    <w:rsid w:val="00240C5E"/>
    <w:rsid w:val="00243128"/>
    <w:rsid w:val="00250977"/>
    <w:rsid w:val="00257E10"/>
    <w:rsid w:val="00262054"/>
    <w:rsid w:val="00264023"/>
    <w:rsid w:val="00270B71"/>
    <w:rsid w:val="0027214B"/>
    <w:rsid w:val="00272BEC"/>
    <w:rsid w:val="00287D67"/>
    <w:rsid w:val="00292494"/>
    <w:rsid w:val="00292881"/>
    <w:rsid w:val="002928D6"/>
    <w:rsid w:val="0029613E"/>
    <w:rsid w:val="002A7159"/>
    <w:rsid w:val="002B698C"/>
    <w:rsid w:val="002B7BFA"/>
    <w:rsid w:val="002C187E"/>
    <w:rsid w:val="002C7F54"/>
    <w:rsid w:val="002D1789"/>
    <w:rsid w:val="002D4556"/>
    <w:rsid w:val="002D4953"/>
    <w:rsid w:val="002D6791"/>
    <w:rsid w:val="002D7841"/>
    <w:rsid w:val="002E018E"/>
    <w:rsid w:val="002E6980"/>
    <w:rsid w:val="002E69AA"/>
    <w:rsid w:val="002F0910"/>
    <w:rsid w:val="002F3BC6"/>
    <w:rsid w:val="002F45D4"/>
    <w:rsid w:val="002F647B"/>
    <w:rsid w:val="003006AB"/>
    <w:rsid w:val="00304116"/>
    <w:rsid w:val="00305F3D"/>
    <w:rsid w:val="00306C92"/>
    <w:rsid w:val="00307280"/>
    <w:rsid w:val="00310051"/>
    <w:rsid w:val="00313653"/>
    <w:rsid w:val="003138E9"/>
    <w:rsid w:val="003168E2"/>
    <w:rsid w:val="0032110E"/>
    <w:rsid w:val="003227F8"/>
    <w:rsid w:val="003232CC"/>
    <w:rsid w:val="00330092"/>
    <w:rsid w:val="0033142B"/>
    <w:rsid w:val="003333BC"/>
    <w:rsid w:val="00337768"/>
    <w:rsid w:val="00337DD1"/>
    <w:rsid w:val="00344509"/>
    <w:rsid w:val="00350D51"/>
    <w:rsid w:val="00350E23"/>
    <w:rsid w:val="003524B8"/>
    <w:rsid w:val="0035274A"/>
    <w:rsid w:val="00361999"/>
    <w:rsid w:val="00366505"/>
    <w:rsid w:val="0037364A"/>
    <w:rsid w:val="0038391B"/>
    <w:rsid w:val="003868EE"/>
    <w:rsid w:val="00386DB5"/>
    <w:rsid w:val="003877F9"/>
    <w:rsid w:val="00387D46"/>
    <w:rsid w:val="003A54EE"/>
    <w:rsid w:val="003B0500"/>
    <w:rsid w:val="003B081A"/>
    <w:rsid w:val="003C04C2"/>
    <w:rsid w:val="003C0869"/>
    <w:rsid w:val="003C3034"/>
    <w:rsid w:val="003C3B38"/>
    <w:rsid w:val="003C3E8D"/>
    <w:rsid w:val="003C4EC8"/>
    <w:rsid w:val="003C518F"/>
    <w:rsid w:val="003C5D00"/>
    <w:rsid w:val="003D1A63"/>
    <w:rsid w:val="003D2D60"/>
    <w:rsid w:val="003D3EE4"/>
    <w:rsid w:val="003D6128"/>
    <w:rsid w:val="003E10FE"/>
    <w:rsid w:val="003E7018"/>
    <w:rsid w:val="003F168E"/>
    <w:rsid w:val="003F1883"/>
    <w:rsid w:val="003F2C17"/>
    <w:rsid w:val="003F4539"/>
    <w:rsid w:val="003F5B39"/>
    <w:rsid w:val="003F6BB0"/>
    <w:rsid w:val="00400C14"/>
    <w:rsid w:val="00410BF4"/>
    <w:rsid w:val="004131E0"/>
    <w:rsid w:val="00416764"/>
    <w:rsid w:val="004232FC"/>
    <w:rsid w:val="00425BE6"/>
    <w:rsid w:val="00426FF0"/>
    <w:rsid w:val="004302FD"/>
    <w:rsid w:val="00433648"/>
    <w:rsid w:val="004342FB"/>
    <w:rsid w:val="0044129C"/>
    <w:rsid w:val="00441EE8"/>
    <w:rsid w:val="00441F9D"/>
    <w:rsid w:val="00443721"/>
    <w:rsid w:val="004462AA"/>
    <w:rsid w:val="00451E39"/>
    <w:rsid w:val="00460214"/>
    <w:rsid w:val="00461BA4"/>
    <w:rsid w:val="004620C3"/>
    <w:rsid w:val="00466D6E"/>
    <w:rsid w:val="00470CF5"/>
    <w:rsid w:val="004720EE"/>
    <w:rsid w:val="00474E6B"/>
    <w:rsid w:val="00475C5A"/>
    <w:rsid w:val="0047707A"/>
    <w:rsid w:val="00481C9C"/>
    <w:rsid w:val="00485137"/>
    <w:rsid w:val="004864DA"/>
    <w:rsid w:val="004936F8"/>
    <w:rsid w:val="004954EF"/>
    <w:rsid w:val="004A2865"/>
    <w:rsid w:val="004A546C"/>
    <w:rsid w:val="004A5D7D"/>
    <w:rsid w:val="004A60FE"/>
    <w:rsid w:val="004B2D95"/>
    <w:rsid w:val="004B2E08"/>
    <w:rsid w:val="004C16FA"/>
    <w:rsid w:val="004C1957"/>
    <w:rsid w:val="004C4C69"/>
    <w:rsid w:val="004C5C13"/>
    <w:rsid w:val="004D3B75"/>
    <w:rsid w:val="004D6CAC"/>
    <w:rsid w:val="004D708F"/>
    <w:rsid w:val="004E0361"/>
    <w:rsid w:val="004E080D"/>
    <w:rsid w:val="004E08A4"/>
    <w:rsid w:val="004E1346"/>
    <w:rsid w:val="004E4290"/>
    <w:rsid w:val="004E5B6E"/>
    <w:rsid w:val="004E79AA"/>
    <w:rsid w:val="004E7AC8"/>
    <w:rsid w:val="004F2EA3"/>
    <w:rsid w:val="005008D3"/>
    <w:rsid w:val="00503A7D"/>
    <w:rsid w:val="00510AFC"/>
    <w:rsid w:val="00511986"/>
    <w:rsid w:val="00512164"/>
    <w:rsid w:val="00524005"/>
    <w:rsid w:val="0052589B"/>
    <w:rsid w:val="00525B3B"/>
    <w:rsid w:val="00531EBC"/>
    <w:rsid w:val="005345D0"/>
    <w:rsid w:val="00534C99"/>
    <w:rsid w:val="00535677"/>
    <w:rsid w:val="00542CA2"/>
    <w:rsid w:val="005440AE"/>
    <w:rsid w:val="00551344"/>
    <w:rsid w:val="0055492B"/>
    <w:rsid w:val="00562FE6"/>
    <w:rsid w:val="00563456"/>
    <w:rsid w:val="00572276"/>
    <w:rsid w:val="00572F9D"/>
    <w:rsid w:val="00583C8C"/>
    <w:rsid w:val="005872E0"/>
    <w:rsid w:val="00591B67"/>
    <w:rsid w:val="00595688"/>
    <w:rsid w:val="005A6155"/>
    <w:rsid w:val="005A6F5C"/>
    <w:rsid w:val="005C0A15"/>
    <w:rsid w:val="005C4D4F"/>
    <w:rsid w:val="005C5F42"/>
    <w:rsid w:val="005C7A3B"/>
    <w:rsid w:val="005D2463"/>
    <w:rsid w:val="005D5BD5"/>
    <w:rsid w:val="005E38D5"/>
    <w:rsid w:val="005E4D11"/>
    <w:rsid w:val="005E6194"/>
    <w:rsid w:val="005F2D51"/>
    <w:rsid w:val="005F5AE9"/>
    <w:rsid w:val="00601DB7"/>
    <w:rsid w:val="00604682"/>
    <w:rsid w:val="006075EE"/>
    <w:rsid w:val="0060779B"/>
    <w:rsid w:val="006118AA"/>
    <w:rsid w:val="006120BC"/>
    <w:rsid w:val="006137E9"/>
    <w:rsid w:val="006233AD"/>
    <w:rsid w:val="00626177"/>
    <w:rsid w:val="00626C2F"/>
    <w:rsid w:val="00627E21"/>
    <w:rsid w:val="00634E64"/>
    <w:rsid w:val="00635284"/>
    <w:rsid w:val="00635764"/>
    <w:rsid w:val="00636BB3"/>
    <w:rsid w:val="00641D46"/>
    <w:rsid w:val="006440B8"/>
    <w:rsid w:val="006462D4"/>
    <w:rsid w:val="00650163"/>
    <w:rsid w:val="00651579"/>
    <w:rsid w:val="00657C36"/>
    <w:rsid w:val="00661875"/>
    <w:rsid w:val="00661ECB"/>
    <w:rsid w:val="00662E11"/>
    <w:rsid w:val="00667779"/>
    <w:rsid w:val="00670908"/>
    <w:rsid w:val="00670EF1"/>
    <w:rsid w:val="00686B01"/>
    <w:rsid w:val="006907AC"/>
    <w:rsid w:val="00693191"/>
    <w:rsid w:val="00693B40"/>
    <w:rsid w:val="006948D8"/>
    <w:rsid w:val="0069688B"/>
    <w:rsid w:val="00697A83"/>
    <w:rsid w:val="006A3CCC"/>
    <w:rsid w:val="006A3DBB"/>
    <w:rsid w:val="006A62EB"/>
    <w:rsid w:val="006A725A"/>
    <w:rsid w:val="006B4034"/>
    <w:rsid w:val="006C2DE8"/>
    <w:rsid w:val="006C464D"/>
    <w:rsid w:val="006D028B"/>
    <w:rsid w:val="006D4A8A"/>
    <w:rsid w:val="006D4E39"/>
    <w:rsid w:val="006D557F"/>
    <w:rsid w:val="006D5FA9"/>
    <w:rsid w:val="006E053F"/>
    <w:rsid w:val="006E7117"/>
    <w:rsid w:val="006F00D2"/>
    <w:rsid w:val="006F050F"/>
    <w:rsid w:val="006F0B89"/>
    <w:rsid w:val="006F294B"/>
    <w:rsid w:val="006F392C"/>
    <w:rsid w:val="00701D27"/>
    <w:rsid w:val="00702006"/>
    <w:rsid w:val="00702299"/>
    <w:rsid w:val="00705E39"/>
    <w:rsid w:val="007139B6"/>
    <w:rsid w:val="007142D2"/>
    <w:rsid w:val="007175A8"/>
    <w:rsid w:val="00722BD2"/>
    <w:rsid w:val="00724434"/>
    <w:rsid w:val="00724CA6"/>
    <w:rsid w:val="007269B1"/>
    <w:rsid w:val="007318BF"/>
    <w:rsid w:val="007367F6"/>
    <w:rsid w:val="00737747"/>
    <w:rsid w:val="007401E2"/>
    <w:rsid w:val="007421FA"/>
    <w:rsid w:val="00743A13"/>
    <w:rsid w:val="00745939"/>
    <w:rsid w:val="00756F89"/>
    <w:rsid w:val="007640CD"/>
    <w:rsid w:val="007659AE"/>
    <w:rsid w:val="00767D32"/>
    <w:rsid w:val="00772044"/>
    <w:rsid w:val="00782C08"/>
    <w:rsid w:val="007856C5"/>
    <w:rsid w:val="007874D8"/>
    <w:rsid w:val="00794E72"/>
    <w:rsid w:val="007A011E"/>
    <w:rsid w:val="007A12D8"/>
    <w:rsid w:val="007A3D14"/>
    <w:rsid w:val="007A3DB3"/>
    <w:rsid w:val="007A6A07"/>
    <w:rsid w:val="007B1DC7"/>
    <w:rsid w:val="007B47B7"/>
    <w:rsid w:val="007B482A"/>
    <w:rsid w:val="007B60E3"/>
    <w:rsid w:val="007B690B"/>
    <w:rsid w:val="007C0818"/>
    <w:rsid w:val="007D5266"/>
    <w:rsid w:val="007D5480"/>
    <w:rsid w:val="007D54B6"/>
    <w:rsid w:val="007E1EE0"/>
    <w:rsid w:val="007E5688"/>
    <w:rsid w:val="007E6CBC"/>
    <w:rsid w:val="007F2BC5"/>
    <w:rsid w:val="007F4669"/>
    <w:rsid w:val="007F5447"/>
    <w:rsid w:val="007F5A7E"/>
    <w:rsid w:val="007F7D01"/>
    <w:rsid w:val="0080503F"/>
    <w:rsid w:val="00807374"/>
    <w:rsid w:val="00812ACC"/>
    <w:rsid w:val="008139CB"/>
    <w:rsid w:val="00816370"/>
    <w:rsid w:val="008169AA"/>
    <w:rsid w:val="008210CF"/>
    <w:rsid w:val="00825B0C"/>
    <w:rsid w:val="00827058"/>
    <w:rsid w:val="00827196"/>
    <w:rsid w:val="0082785F"/>
    <w:rsid w:val="00833A88"/>
    <w:rsid w:val="00835034"/>
    <w:rsid w:val="00842770"/>
    <w:rsid w:val="008447B3"/>
    <w:rsid w:val="0084497E"/>
    <w:rsid w:val="00845BBB"/>
    <w:rsid w:val="0085593F"/>
    <w:rsid w:val="00856969"/>
    <w:rsid w:val="00860133"/>
    <w:rsid w:val="00863250"/>
    <w:rsid w:val="008638D9"/>
    <w:rsid w:val="008655C8"/>
    <w:rsid w:val="008664A5"/>
    <w:rsid w:val="00867649"/>
    <w:rsid w:val="008676F3"/>
    <w:rsid w:val="008705CB"/>
    <w:rsid w:val="008706EC"/>
    <w:rsid w:val="00871885"/>
    <w:rsid w:val="00871D32"/>
    <w:rsid w:val="008736BC"/>
    <w:rsid w:val="00874A1E"/>
    <w:rsid w:val="008812B8"/>
    <w:rsid w:val="00886591"/>
    <w:rsid w:val="008919E6"/>
    <w:rsid w:val="00893B62"/>
    <w:rsid w:val="008A1472"/>
    <w:rsid w:val="008A4F20"/>
    <w:rsid w:val="008B4407"/>
    <w:rsid w:val="008B5757"/>
    <w:rsid w:val="008C28AC"/>
    <w:rsid w:val="008C4EE2"/>
    <w:rsid w:val="008C5C52"/>
    <w:rsid w:val="008C7DCA"/>
    <w:rsid w:val="008D5AAF"/>
    <w:rsid w:val="008D5CBA"/>
    <w:rsid w:val="008D6993"/>
    <w:rsid w:val="008D6D3B"/>
    <w:rsid w:val="008E0466"/>
    <w:rsid w:val="008E0637"/>
    <w:rsid w:val="008E1230"/>
    <w:rsid w:val="008E4930"/>
    <w:rsid w:val="0090410E"/>
    <w:rsid w:val="00904D52"/>
    <w:rsid w:val="00907746"/>
    <w:rsid w:val="0091456F"/>
    <w:rsid w:val="0092130D"/>
    <w:rsid w:val="0092602B"/>
    <w:rsid w:val="009271BD"/>
    <w:rsid w:val="009273EE"/>
    <w:rsid w:val="009325CB"/>
    <w:rsid w:val="00933011"/>
    <w:rsid w:val="00934091"/>
    <w:rsid w:val="00936646"/>
    <w:rsid w:val="009417BE"/>
    <w:rsid w:val="00943A92"/>
    <w:rsid w:val="00950FDB"/>
    <w:rsid w:val="0095479C"/>
    <w:rsid w:val="00956FB3"/>
    <w:rsid w:val="00957AFD"/>
    <w:rsid w:val="00960A07"/>
    <w:rsid w:val="00964CE7"/>
    <w:rsid w:val="009660C6"/>
    <w:rsid w:val="00967439"/>
    <w:rsid w:val="00972D54"/>
    <w:rsid w:val="0098157D"/>
    <w:rsid w:val="009862F7"/>
    <w:rsid w:val="0098785F"/>
    <w:rsid w:val="00993791"/>
    <w:rsid w:val="00993FDC"/>
    <w:rsid w:val="009950E8"/>
    <w:rsid w:val="00997856"/>
    <w:rsid w:val="009A53FE"/>
    <w:rsid w:val="009A6B03"/>
    <w:rsid w:val="009A73B5"/>
    <w:rsid w:val="009B387B"/>
    <w:rsid w:val="009B61C8"/>
    <w:rsid w:val="009B6D0B"/>
    <w:rsid w:val="009C152F"/>
    <w:rsid w:val="009C36D0"/>
    <w:rsid w:val="009C381C"/>
    <w:rsid w:val="009C3CCE"/>
    <w:rsid w:val="009C515F"/>
    <w:rsid w:val="009C7B78"/>
    <w:rsid w:val="009D1998"/>
    <w:rsid w:val="009D2F78"/>
    <w:rsid w:val="009D4EB5"/>
    <w:rsid w:val="009D4EFF"/>
    <w:rsid w:val="009D54B6"/>
    <w:rsid w:val="009E2266"/>
    <w:rsid w:val="009E7632"/>
    <w:rsid w:val="009F0DAC"/>
    <w:rsid w:val="009F49C3"/>
    <w:rsid w:val="00A03227"/>
    <w:rsid w:val="00A0437A"/>
    <w:rsid w:val="00A053A9"/>
    <w:rsid w:val="00A05458"/>
    <w:rsid w:val="00A07F44"/>
    <w:rsid w:val="00A14FDA"/>
    <w:rsid w:val="00A20AFD"/>
    <w:rsid w:val="00A20C3D"/>
    <w:rsid w:val="00A21B9A"/>
    <w:rsid w:val="00A21D02"/>
    <w:rsid w:val="00A249EA"/>
    <w:rsid w:val="00A301BB"/>
    <w:rsid w:val="00A332B0"/>
    <w:rsid w:val="00A34D7C"/>
    <w:rsid w:val="00A35D47"/>
    <w:rsid w:val="00A40860"/>
    <w:rsid w:val="00A43B05"/>
    <w:rsid w:val="00A45031"/>
    <w:rsid w:val="00A45742"/>
    <w:rsid w:val="00A46259"/>
    <w:rsid w:val="00A56BDC"/>
    <w:rsid w:val="00A60B52"/>
    <w:rsid w:val="00A61EDA"/>
    <w:rsid w:val="00A6496B"/>
    <w:rsid w:val="00A650C5"/>
    <w:rsid w:val="00A671C4"/>
    <w:rsid w:val="00A82111"/>
    <w:rsid w:val="00A8380C"/>
    <w:rsid w:val="00A8634B"/>
    <w:rsid w:val="00A87EA8"/>
    <w:rsid w:val="00A9580E"/>
    <w:rsid w:val="00A95F81"/>
    <w:rsid w:val="00AA0DB1"/>
    <w:rsid w:val="00AA2664"/>
    <w:rsid w:val="00AA31D4"/>
    <w:rsid w:val="00AA4C41"/>
    <w:rsid w:val="00AB3341"/>
    <w:rsid w:val="00AB63CC"/>
    <w:rsid w:val="00AC30B8"/>
    <w:rsid w:val="00AC5BC4"/>
    <w:rsid w:val="00AD196F"/>
    <w:rsid w:val="00AD648B"/>
    <w:rsid w:val="00AF10A8"/>
    <w:rsid w:val="00AF4881"/>
    <w:rsid w:val="00AF58C8"/>
    <w:rsid w:val="00B00A1D"/>
    <w:rsid w:val="00B013D6"/>
    <w:rsid w:val="00B01890"/>
    <w:rsid w:val="00B11C95"/>
    <w:rsid w:val="00B120A5"/>
    <w:rsid w:val="00B15DF0"/>
    <w:rsid w:val="00B164C5"/>
    <w:rsid w:val="00B20521"/>
    <w:rsid w:val="00B2555F"/>
    <w:rsid w:val="00B31358"/>
    <w:rsid w:val="00B322E0"/>
    <w:rsid w:val="00B32B4D"/>
    <w:rsid w:val="00B3572B"/>
    <w:rsid w:val="00B36441"/>
    <w:rsid w:val="00B4460E"/>
    <w:rsid w:val="00B50592"/>
    <w:rsid w:val="00B52C43"/>
    <w:rsid w:val="00B61C41"/>
    <w:rsid w:val="00B743C9"/>
    <w:rsid w:val="00B760D1"/>
    <w:rsid w:val="00B8054E"/>
    <w:rsid w:val="00B82982"/>
    <w:rsid w:val="00B829C8"/>
    <w:rsid w:val="00B86608"/>
    <w:rsid w:val="00B86F56"/>
    <w:rsid w:val="00B87B4D"/>
    <w:rsid w:val="00B90009"/>
    <w:rsid w:val="00B94774"/>
    <w:rsid w:val="00B9623A"/>
    <w:rsid w:val="00BA0914"/>
    <w:rsid w:val="00BA2DC8"/>
    <w:rsid w:val="00BA3332"/>
    <w:rsid w:val="00BA34A6"/>
    <w:rsid w:val="00BA3DA1"/>
    <w:rsid w:val="00BA5B69"/>
    <w:rsid w:val="00BA743F"/>
    <w:rsid w:val="00BB2FF3"/>
    <w:rsid w:val="00BC051E"/>
    <w:rsid w:val="00BC0534"/>
    <w:rsid w:val="00BC19EA"/>
    <w:rsid w:val="00BC21F6"/>
    <w:rsid w:val="00BC22F4"/>
    <w:rsid w:val="00BC3F44"/>
    <w:rsid w:val="00BC4A3F"/>
    <w:rsid w:val="00BE0132"/>
    <w:rsid w:val="00BE1A65"/>
    <w:rsid w:val="00BE24D1"/>
    <w:rsid w:val="00BE4B87"/>
    <w:rsid w:val="00BE63C6"/>
    <w:rsid w:val="00BF01F0"/>
    <w:rsid w:val="00BF119A"/>
    <w:rsid w:val="00BF269E"/>
    <w:rsid w:val="00BF26EE"/>
    <w:rsid w:val="00BF5544"/>
    <w:rsid w:val="00BF5B9D"/>
    <w:rsid w:val="00C00DFA"/>
    <w:rsid w:val="00C0387C"/>
    <w:rsid w:val="00C12960"/>
    <w:rsid w:val="00C12BD6"/>
    <w:rsid w:val="00C13B7E"/>
    <w:rsid w:val="00C1688A"/>
    <w:rsid w:val="00C1787C"/>
    <w:rsid w:val="00C23196"/>
    <w:rsid w:val="00C3162B"/>
    <w:rsid w:val="00C31E45"/>
    <w:rsid w:val="00C32860"/>
    <w:rsid w:val="00C33B17"/>
    <w:rsid w:val="00C33CCF"/>
    <w:rsid w:val="00C36474"/>
    <w:rsid w:val="00C364E6"/>
    <w:rsid w:val="00C40443"/>
    <w:rsid w:val="00C41726"/>
    <w:rsid w:val="00C42A50"/>
    <w:rsid w:val="00C43727"/>
    <w:rsid w:val="00C46242"/>
    <w:rsid w:val="00C54A2B"/>
    <w:rsid w:val="00C55D3B"/>
    <w:rsid w:val="00C563CD"/>
    <w:rsid w:val="00C615C7"/>
    <w:rsid w:val="00C70777"/>
    <w:rsid w:val="00C73FD1"/>
    <w:rsid w:val="00C80209"/>
    <w:rsid w:val="00C80298"/>
    <w:rsid w:val="00C82D72"/>
    <w:rsid w:val="00C8354E"/>
    <w:rsid w:val="00C979C9"/>
    <w:rsid w:val="00C97CC8"/>
    <w:rsid w:val="00CA1135"/>
    <w:rsid w:val="00CA3F30"/>
    <w:rsid w:val="00CB1DAD"/>
    <w:rsid w:val="00CB2D3D"/>
    <w:rsid w:val="00CB49EF"/>
    <w:rsid w:val="00CB7751"/>
    <w:rsid w:val="00CC1BDF"/>
    <w:rsid w:val="00CC276F"/>
    <w:rsid w:val="00CC36E9"/>
    <w:rsid w:val="00CC388C"/>
    <w:rsid w:val="00CC58AD"/>
    <w:rsid w:val="00CD04E8"/>
    <w:rsid w:val="00CD2D34"/>
    <w:rsid w:val="00CD3351"/>
    <w:rsid w:val="00CD3622"/>
    <w:rsid w:val="00CE069A"/>
    <w:rsid w:val="00CE1142"/>
    <w:rsid w:val="00CE3171"/>
    <w:rsid w:val="00CE3EE7"/>
    <w:rsid w:val="00CE51E9"/>
    <w:rsid w:val="00CE662F"/>
    <w:rsid w:val="00CF0338"/>
    <w:rsid w:val="00CF4DB5"/>
    <w:rsid w:val="00D037CE"/>
    <w:rsid w:val="00D0620E"/>
    <w:rsid w:val="00D13BFC"/>
    <w:rsid w:val="00D14911"/>
    <w:rsid w:val="00D163C8"/>
    <w:rsid w:val="00D165C5"/>
    <w:rsid w:val="00D16C1A"/>
    <w:rsid w:val="00D21EE4"/>
    <w:rsid w:val="00D23508"/>
    <w:rsid w:val="00D30614"/>
    <w:rsid w:val="00D321AD"/>
    <w:rsid w:val="00D34B32"/>
    <w:rsid w:val="00D377D9"/>
    <w:rsid w:val="00D378CF"/>
    <w:rsid w:val="00D41778"/>
    <w:rsid w:val="00D41E22"/>
    <w:rsid w:val="00D44B5A"/>
    <w:rsid w:val="00D52DA0"/>
    <w:rsid w:val="00D530A7"/>
    <w:rsid w:val="00D60736"/>
    <w:rsid w:val="00D6232B"/>
    <w:rsid w:val="00D641EC"/>
    <w:rsid w:val="00D66800"/>
    <w:rsid w:val="00D7134D"/>
    <w:rsid w:val="00D76655"/>
    <w:rsid w:val="00D76719"/>
    <w:rsid w:val="00D7699C"/>
    <w:rsid w:val="00D77EF7"/>
    <w:rsid w:val="00D83B28"/>
    <w:rsid w:val="00D84041"/>
    <w:rsid w:val="00D8440D"/>
    <w:rsid w:val="00D940CE"/>
    <w:rsid w:val="00D9602F"/>
    <w:rsid w:val="00DA0A95"/>
    <w:rsid w:val="00DA2660"/>
    <w:rsid w:val="00DA28A2"/>
    <w:rsid w:val="00DB4B87"/>
    <w:rsid w:val="00DB5958"/>
    <w:rsid w:val="00DB5D45"/>
    <w:rsid w:val="00DB5DDC"/>
    <w:rsid w:val="00DC1B0C"/>
    <w:rsid w:val="00DC34D9"/>
    <w:rsid w:val="00DD2E7C"/>
    <w:rsid w:val="00DD5F7E"/>
    <w:rsid w:val="00DD6C33"/>
    <w:rsid w:val="00DD772B"/>
    <w:rsid w:val="00DE166F"/>
    <w:rsid w:val="00DF1F65"/>
    <w:rsid w:val="00DF2237"/>
    <w:rsid w:val="00DF3DF6"/>
    <w:rsid w:val="00DF4653"/>
    <w:rsid w:val="00DF4709"/>
    <w:rsid w:val="00DF6A8B"/>
    <w:rsid w:val="00DF6CE2"/>
    <w:rsid w:val="00DF772F"/>
    <w:rsid w:val="00E018AC"/>
    <w:rsid w:val="00E0347E"/>
    <w:rsid w:val="00E04F14"/>
    <w:rsid w:val="00E05F26"/>
    <w:rsid w:val="00E14223"/>
    <w:rsid w:val="00E16DAA"/>
    <w:rsid w:val="00E24B52"/>
    <w:rsid w:val="00E25B03"/>
    <w:rsid w:val="00E26B19"/>
    <w:rsid w:val="00E31EB6"/>
    <w:rsid w:val="00E34C79"/>
    <w:rsid w:val="00E35478"/>
    <w:rsid w:val="00E37C21"/>
    <w:rsid w:val="00E40F62"/>
    <w:rsid w:val="00E44548"/>
    <w:rsid w:val="00E47F74"/>
    <w:rsid w:val="00E506A7"/>
    <w:rsid w:val="00E51308"/>
    <w:rsid w:val="00E51685"/>
    <w:rsid w:val="00E53699"/>
    <w:rsid w:val="00E5403F"/>
    <w:rsid w:val="00E55934"/>
    <w:rsid w:val="00E57FCC"/>
    <w:rsid w:val="00E61143"/>
    <w:rsid w:val="00E64242"/>
    <w:rsid w:val="00E647CB"/>
    <w:rsid w:val="00E65242"/>
    <w:rsid w:val="00E70AC5"/>
    <w:rsid w:val="00E724EB"/>
    <w:rsid w:val="00E760D5"/>
    <w:rsid w:val="00E80C39"/>
    <w:rsid w:val="00E8154B"/>
    <w:rsid w:val="00E839EE"/>
    <w:rsid w:val="00E85BBC"/>
    <w:rsid w:val="00E8798C"/>
    <w:rsid w:val="00E91BC7"/>
    <w:rsid w:val="00E92BB5"/>
    <w:rsid w:val="00E94CEB"/>
    <w:rsid w:val="00E9502B"/>
    <w:rsid w:val="00EA355E"/>
    <w:rsid w:val="00EA42CC"/>
    <w:rsid w:val="00EA5597"/>
    <w:rsid w:val="00EA7FA0"/>
    <w:rsid w:val="00EB0A81"/>
    <w:rsid w:val="00EB4BBC"/>
    <w:rsid w:val="00EB561E"/>
    <w:rsid w:val="00EB6429"/>
    <w:rsid w:val="00EB6EA9"/>
    <w:rsid w:val="00EC4E1C"/>
    <w:rsid w:val="00EC5B8E"/>
    <w:rsid w:val="00EC7ABC"/>
    <w:rsid w:val="00ED72F0"/>
    <w:rsid w:val="00EE0429"/>
    <w:rsid w:val="00EE07BC"/>
    <w:rsid w:val="00EE0D59"/>
    <w:rsid w:val="00EE5206"/>
    <w:rsid w:val="00EE5354"/>
    <w:rsid w:val="00EE67F9"/>
    <w:rsid w:val="00EF022F"/>
    <w:rsid w:val="00EF24A5"/>
    <w:rsid w:val="00EF76DA"/>
    <w:rsid w:val="00F01332"/>
    <w:rsid w:val="00F02D34"/>
    <w:rsid w:val="00F056F2"/>
    <w:rsid w:val="00F06A5C"/>
    <w:rsid w:val="00F16982"/>
    <w:rsid w:val="00F224FD"/>
    <w:rsid w:val="00F23B80"/>
    <w:rsid w:val="00F2479F"/>
    <w:rsid w:val="00F253AD"/>
    <w:rsid w:val="00F2567A"/>
    <w:rsid w:val="00F31974"/>
    <w:rsid w:val="00F33471"/>
    <w:rsid w:val="00F373E2"/>
    <w:rsid w:val="00F37FC8"/>
    <w:rsid w:val="00F42072"/>
    <w:rsid w:val="00F43491"/>
    <w:rsid w:val="00F43A38"/>
    <w:rsid w:val="00F4536E"/>
    <w:rsid w:val="00F459B4"/>
    <w:rsid w:val="00F46BCE"/>
    <w:rsid w:val="00F52EF2"/>
    <w:rsid w:val="00F55DF0"/>
    <w:rsid w:val="00F562F7"/>
    <w:rsid w:val="00F62C5A"/>
    <w:rsid w:val="00F670CA"/>
    <w:rsid w:val="00F71410"/>
    <w:rsid w:val="00F76C7C"/>
    <w:rsid w:val="00F779AF"/>
    <w:rsid w:val="00F81619"/>
    <w:rsid w:val="00F83EC4"/>
    <w:rsid w:val="00F8588F"/>
    <w:rsid w:val="00F9360A"/>
    <w:rsid w:val="00F94AE1"/>
    <w:rsid w:val="00F96C64"/>
    <w:rsid w:val="00FA1960"/>
    <w:rsid w:val="00FB00AE"/>
    <w:rsid w:val="00FB50E4"/>
    <w:rsid w:val="00FC04B6"/>
    <w:rsid w:val="00FC2544"/>
    <w:rsid w:val="00FC257A"/>
    <w:rsid w:val="00FC2E0E"/>
    <w:rsid w:val="00FD21B2"/>
    <w:rsid w:val="00FD2FE6"/>
    <w:rsid w:val="00FD44F2"/>
    <w:rsid w:val="00FD4A48"/>
    <w:rsid w:val="00FD6BBC"/>
    <w:rsid w:val="00FE4409"/>
    <w:rsid w:val="00FE58A2"/>
    <w:rsid w:val="00FE5A50"/>
    <w:rsid w:val="00FF5E26"/>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9C66C-C1CC-442E-966C-93A6F4EC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CD"/>
  </w:style>
  <w:style w:type="paragraph" w:styleId="Heading1">
    <w:name w:val="heading 1"/>
    <w:basedOn w:val="Normal"/>
    <w:next w:val="Normal"/>
    <w:link w:val="Heading1Char"/>
    <w:uiPriority w:val="9"/>
    <w:qFormat/>
    <w:rsid w:val="00DF4709"/>
    <w:pPr>
      <w:spacing w:before="300" w:after="40" w:line="276" w:lineRule="auto"/>
      <w:outlineLvl w:val="0"/>
    </w:pPr>
    <w:rPr>
      <w:rFonts w:ascii="Franklin Gothic Book" w:eastAsia="Times New Roman" w:hAnsi="Franklin Gothic Book" w:cs="Times New Roman"/>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B743C9"/>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uiPriority w:val="99"/>
    <w:semiHidden/>
    <w:rsid w:val="00DF4709"/>
    <w:rPr>
      <w:vertAlign w:val="superscript"/>
    </w:rPr>
  </w:style>
  <w:style w:type="paragraph" w:styleId="FootnoteText">
    <w:name w:val="footnote text"/>
    <w:basedOn w:val="Normal"/>
    <w:link w:val="FootnoteTextChar"/>
    <w:rsid w:val="00DF4709"/>
    <w:pPr>
      <w:keepLines/>
      <w:spacing w:after="120" w:line="200" w:lineRule="atLeast"/>
      <w:jc w:val="both"/>
    </w:pPr>
    <w:rPr>
      <w:rFonts w:ascii="Franklin Gothic Book" w:eastAsia="Times New Roman" w:hAnsi="Franklin Gothic Book" w:cs="Times New Roman"/>
      <w:sz w:val="18"/>
      <w:szCs w:val="20"/>
      <w:lang w:bidi="en-US"/>
    </w:rPr>
  </w:style>
  <w:style w:type="character" w:customStyle="1" w:styleId="FootnoteTextChar">
    <w:name w:val="Footnote Text Char"/>
    <w:basedOn w:val="DefaultParagraphFont"/>
    <w:link w:val="FootnoteText"/>
    <w:rsid w:val="00DF4709"/>
    <w:rPr>
      <w:rFonts w:ascii="Franklin Gothic Book" w:eastAsia="Times New Roman" w:hAnsi="Franklin Gothic Book" w:cs="Times New Roman"/>
      <w:sz w:val="18"/>
      <w:szCs w:val="20"/>
      <w:lang w:bidi="en-US"/>
    </w:rPr>
  </w:style>
  <w:style w:type="character" w:customStyle="1" w:styleId="Heading1Char">
    <w:name w:val="Heading 1 Char"/>
    <w:basedOn w:val="DefaultParagraphFont"/>
    <w:link w:val="Heading1"/>
    <w:uiPriority w:val="9"/>
    <w:rsid w:val="00DF4709"/>
    <w:rPr>
      <w:rFonts w:ascii="Franklin Gothic Book" w:eastAsia="Times New Roman" w:hAnsi="Franklin Gothic Book" w:cs="Times New Roman"/>
      <w:smallCaps/>
      <w:spacing w:val="5"/>
      <w:sz w:val="32"/>
      <w:szCs w:val="32"/>
      <w:lang w:bidi="en-US"/>
    </w:rPr>
  </w:style>
  <w:style w:type="paragraph" w:styleId="Header">
    <w:name w:val="header"/>
    <w:basedOn w:val="Normal"/>
    <w:link w:val="HeaderChar"/>
    <w:uiPriority w:val="99"/>
    <w:rsid w:val="00DF4709"/>
    <w:pPr>
      <w:keepLines/>
      <w:tabs>
        <w:tab w:val="center" w:pos="4320"/>
        <w:tab w:val="right" w:pos="8640"/>
      </w:tabs>
      <w:spacing w:after="480" w:line="276" w:lineRule="auto"/>
      <w:jc w:val="center"/>
    </w:pPr>
    <w:rPr>
      <w:rFonts w:ascii="Franklin Gothic Book" w:eastAsia="Times New Roman" w:hAnsi="Franklin Gothic Book" w:cs="Times New Roman"/>
      <w:caps/>
      <w:spacing w:val="15"/>
      <w:sz w:val="18"/>
      <w:szCs w:val="20"/>
      <w:lang w:bidi="en-US"/>
    </w:rPr>
  </w:style>
  <w:style w:type="character" w:customStyle="1" w:styleId="HeaderChar">
    <w:name w:val="Header Char"/>
    <w:basedOn w:val="DefaultParagraphFont"/>
    <w:link w:val="Header"/>
    <w:uiPriority w:val="99"/>
    <w:rsid w:val="00DF4709"/>
    <w:rPr>
      <w:rFonts w:ascii="Franklin Gothic Book" w:eastAsia="Times New Roman" w:hAnsi="Franklin Gothic Book" w:cs="Times New Roman"/>
      <w:caps/>
      <w:spacing w:val="15"/>
      <w:sz w:val="18"/>
      <w:szCs w:val="20"/>
      <w:lang w:bidi="en-US"/>
    </w:rPr>
  </w:style>
  <w:style w:type="character" w:styleId="PageNumber">
    <w:name w:val="page number"/>
    <w:rsid w:val="00DF4709"/>
    <w:rPr>
      <w:sz w:val="24"/>
    </w:rPr>
  </w:style>
  <w:style w:type="paragraph" w:styleId="ListParagraph">
    <w:name w:val="List Paragraph"/>
    <w:basedOn w:val="Normal"/>
    <w:uiPriority w:val="34"/>
    <w:qFormat/>
    <w:rsid w:val="00B164C5"/>
    <w:pPr>
      <w:ind w:left="720"/>
      <w:contextualSpacing/>
    </w:pPr>
  </w:style>
  <w:style w:type="paragraph" w:styleId="PlainText">
    <w:name w:val="Plain Text"/>
    <w:basedOn w:val="Normal"/>
    <w:link w:val="PlainTextChar"/>
    <w:uiPriority w:val="99"/>
    <w:semiHidden/>
    <w:unhideWhenUsed/>
    <w:rsid w:val="006120B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120BC"/>
    <w:rPr>
      <w:rFonts w:ascii="Calibri" w:eastAsia="Calibri" w:hAnsi="Calibri" w:cs="Times New Roman"/>
      <w:szCs w:val="21"/>
    </w:rPr>
  </w:style>
  <w:style w:type="paragraph" w:styleId="Footer">
    <w:name w:val="footer"/>
    <w:basedOn w:val="Normal"/>
    <w:link w:val="FooterChar"/>
    <w:uiPriority w:val="99"/>
    <w:unhideWhenUsed/>
    <w:rsid w:val="0069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83"/>
  </w:style>
  <w:style w:type="paragraph" w:styleId="BalloonText">
    <w:name w:val="Balloon Text"/>
    <w:basedOn w:val="Normal"/>
    <w:link w:val="BalloonTextChar"/>
    <w:uiPriority w:val="99"/>
    <w:semiHidden/>
    <w:unhideWhenUsed/>
    <w:rsid w:val="0084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B3"/>
    <w:rPr>
      <w:rFonts w:ascii="Segoe UI" w:hAnsi="Segoe UI" w:cs="Segoe UI"/>
      <w:sz w:val="18"/>
      <w:szCs w:val="18"/>
    </w:rPr>
  </w:style>
  <w:style w:type="table" w:styleId="TableGrid">
    <w:name w:val="Table Grid"/>
    <w:basedOn w:val="TableNormal"/>
    <w:uiPriority w:val="39"/>
    <w:rsid w:val="00DF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8AC"/>
    <w:rPr>
      <w:sz w:val="16"/>
      <w:szCs w:val="16"/>
    </w:rPr>
  </w:style>
  <w:style w:type="paragraph" w:styleId="CommentText">
    <w:name w:val="annotation text"/>
    <w:basedOn w:val="Normal"/>
    <w:link w:val="CommentTextChar"/>
    <w:uiPriority w:val="99"/>
    <w:semiHidden/>
    <w:unhideWhenUsed/>
    <w:rsid w:val="00E018AC"/>
    <w:pPr>
      <w:spacing w:line="240" w:lineRule="auto"/>
    </w:pPr>
    <w:rPr>
      <w:sz w:val="20"/>
      <w:szCs w:val="20"/>
    </w:rPr>
  </w:style>
  <w:style w:type="character" w:customStyle="1" w:styleId="CommentTextChar">
    <w:name w:val="Comment Text Char"/>
    <w:basedOn w:val="DefaultParagraphFont"/>
    <w:link w:val="CommentText"/>
    <w:uiPriority w:val="99"/>
    <w:semiHidden/>
    <w:rsid w:val="00E018AC"/>
    <w:rPr>
      <w:sz w:val="20"/>
      <w:szCs w:val="20"/>
    </w:rPr>
  </w:style>
  <w:style w:type="paragraph" w:styleId="CommentSubject">
    <w:name w:val="annotation subject"/>
    <w:basedOn w:val="CommentText"/>
    <w:next w:val="CommentText"/>
    <w:link w:val="CommentSubjectChar"/>
    <w:uiPriority w:val="99"/>
    <w:semiHidden/>
    <w:unhideWhenUsed/>
    <w:rsid w:val="00E018AC"/>
    <w:rPr>
      <w:b/>
      <w:bCs/>
    </w:rPr>
  </w:style>
  <w:style w:type="character" w:customStyle="1" w:styleId="CommentSubjectChar">
    <w:name w:val="Comment Subject Char"/>
    <w:basedOn w:val="CommentTextChar"/>
    <w:link w:val="CommentSubject"/>
    <w:uiPriority w:val="99"/>
    <w:semiHidden/>
    <w:rsid w:val="00E018AC"/>
    <w:rPr>
      <w:b/>
      <w:bCs/>
      <w:sz w:val="20"/>
      <w:szCs w:val="20"/>
    </w:rPr>
  </w:style>
  <w:style w:type="paragraph" w:styleId="Revision">
    <w:name w:val="Revision"/>
    <w:hidden/>
    <w:uiPriority w:val="99"/>
    <w:semiHidden/>
    <w:rsid w:val="0013202B"/>
    <w:pPr>
      <w:spacing w:after="0" w:line="240" w:lineRule="auto"/>
    </w:pPr>
  </w:style>
  <w:style w:type="paragraph" w:customStyle="1" w:styleId="TableCellHeader2-Tina">
    <w:name w:val="Table Cell Header 2 - Tina"/>
    <w:basedOn w:val="Normal"/>
    <w:link w:val="TableCellHeader2-TinaChar"/>
    <w:qFormat/>
    <w:rsid w:val="0098157D"/>
    <w:pPr>
      <w:tabs>
        <w:tab w:val="right" w:pos="9124"/>
      </w:tabs>
      <w:spacing w:after="0" w:line="240" w:lineRule="auto"/>
    </w:pPr>
    <w:rPr>
      <w:rFonts w:ascii="Arial" w:eastAsia="Times New Roman" w:hAnsi="Arial" w:cs="Arial"/>
      <w:b/>
      <w:bCs/>
      <w:sz w:val="20"/>
      <w:szCs w:val="20"/>
    </w:rPr>
  </w:style>
  <w:style w:type="character" w:customStyle="1" w:styleId="TableCellHeader2-TinaChar">
    <w:name w:val="Table Cell Header 2 - Tina Char"/>
    <w:basedOn w:val="DefaultParagraphFont"/>
    <w:link w:val="TableCellHeader2-Tina"/>
    <w:rsid w:val="0098157D"/>
    <w:rPr>
      <w:rFonts w:ascii="Arial" w:eastAsia="Times New Roman" w:hAnsi="Arial" w:cs="Arial"/>
      <w:b/>
      <w:bCs/>
      <w:sz w:val="20"/>
      <w:szCs w:val="20"/>
    </w:rPr>
  </w:style>
  <w:style w:type="character" w:customStyle="1" w:styleId="apple-converted-space">
    <w:name w:val="apple-converted-space"/>
    <w:basedOn w:val="DefaultParagraphFont"/>
    <w:rsid w:val="00967439"/>
  </w:style>
  <w:style w:type="character" w:styleId="Hyperlink">
    <w:name w:val="Hyperlink"/>
    <w:basedOn w:val="DefaultParagraphFont"/>
    <w:uiPriority w:val="99"/>
    <w:semiHidden/>
    <w:unhideWhenUsed/>
    <w:rsid w:val="0096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830">
      <w:bodyDiv w:val="1"/>
      <w:marLeft w:val="0"/>
      <w:marRight w:val="0"/>
      <w:marTop w:val="0"/>
      <w:marBottom w:val="0"/>
      <w:divBdr>
        <w:top w:val="none" w:sz="0" w:space="0" w:color="auto"/>
        <w:left w:val="none" w:sz="0" w:space="0" w:color="auto"/>
        <w:bottom w:val="none" w:sz="0" w:space="0" w:color="auto"/>
        <w:right w:val="none" w:sz="0" w:space="0" w:color="auto"/>
      </w:divBdr>
    </w:div>
    <w:div w:id="712772996">
      <w:bodyDiv w:val="1"/>
      <w:marLeft w:val="0"/>
      <w:marRight w:val="0"/>
      <w:marTop w:val="0"/>
      <w:marBottom w:val="0"/>
      <w:divBdr>
        <w:top w:val="none" w:sz="0" w:space="0" w:color="auto"/>
        <w:left w:val="none" w:sz="0" w:space="0" w:color="auto"/>
        <w:bottom w:val="none" w:sz="0" w:space="0" w:color="auto"/>
        <w:right w:val="none" w:sz="0" w:space="0" w:color="auto"/>
      </w:divBdr>
    </w:div>
    <w:div w:id="1130782579">
      <w:bodyDiv w:val="1"/>
      <w:marLeft w:val="0"/>
      <w:marRight w:val="0"/>
      <w:marTop w:val="0"/>
      <w:marBottom w:val="0"/>
      <w:divBdr>
        <w:top w:val="none" w:sz="0" w:space="0" w:color="auto"/>
        <w:left w:val="none" w:sz="0" w:space="0" w:color="auto"/>
        <w:bottom w:val="none" w:sz="0" w:space="0" w:color="auto"/>
        <w:right w:val="none" w:sz="0" w:space="0" w:color="auto"/>
      </w:divBdr>
    </w:div>
    <w:div w:id="1301767410">
      <w:bodyDiv w:val="1"/>
      <w:marLeft w:val="0"/>
      <w:marRight w:val="0"/>
      <w:marTop w:val="0"/>
      <w:marBottom w:val="0"/>
      <w:divBdr>
        <w:top w:val="none" w:sz="0" w:space="0" w:color="auto"/>
        <w:left w:val="none" w:sz="0" w:space="0" w:color="auto"/>
        <w:bottom w:val="none" w:sz="0" w:space="0" w:color="auto"/>
        <w:right w:val="none" w:sz="0" w:space="0" w:color="auto"/>
      </w:divBdr>
    </w:div>
    <w:div w:id="1447891596">
      <w:bodyDiv w:val="1"/>
      <w:marLeft w:val="0"/>
      <w:marRight w:val="0"/>
      <w:marTop w:val="0"/>
      <w:marBottom w:val="0"/>
      <w:divBdr>
        <w:top w:val="none" w:sz="0" w:space="0" w:color="auto"/>
        <w:left w:val="none" w:sz="0" w:space="0" w:color="auto"/>
        <w:bottom w:val="none" w:sz="0" w:space="0" w:color="auto"/>
        <w:right w:val="none" w:sz="0" w:space="0" w:color="auto"/>
      </w:divBdr>
    </w:div>
    <w:div w:id="1722745403">
      <w:bodyDiv w:val="1"/>
      <w:marLeft w:val="0"/>
      <w:marRight w:val="0"/>
      <w:marTop w:val="0"/>
      <w:marBottom w:val="0"/>
      <w:divBdr>
        <w:top w:val="none" w:sz="0" w:space="0" w:color="auto"/>
        <w:left w:val="none" w:sz="0" w:space="0" w:color="auto"/>
        <w:bottom w:val="none" w:sz="0" w:space="0" w:color="auto"/>
        <w:right w:val="none" w:sz="0" w:space="0" w:color="auto"/>
      </w:divBdr>
    </w:div>
    <w:div w:id="17692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192AE169-6429-4808-923D-2B673085D398}">
  <ds:schemaRefs>
    <ds:schemaRef ds:uri="http://schemas.openxmlformats.org/officeDocument/2006/bibliography"/>
  </ds:schemaRefs>
</ds:datastoreItem>
</file>

<file path=customXml/itemProps2.xml><?xml version="1.0" encoding="utf-8"?>
<ds:datastoreItem xmlns:ds="http://schemas.openxmlformats.org/officeDocument/2006/customXml" ds:itemID="{C3CE245A-E0B5-4FAF-B839-88CD8BD4884F}"/>
</file>

<file path=customXml/itemProps3.xml><?xml version="1.0" encoding="utf-8"?>
<ds:datastoreItem xmlns:ds="http://schemas.openxmlformats.org/officeDocument/2006/customXml" ds:itemID="{295D9721-8E4B-4B5A-9878-FFAA7B8118FA}"/>
</file>

<file path=customXml/itemProps4.xml><?xml version="1.0" encoding="utf-8"?>
<ds:datastoreItem xmlns:ds="http://schemas.openxmlformats.org/officeDocument/2006/customXml" ds:itemID="{F3A78967-6C97-4222-B3DA-C1320857F9F0}"/>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USOAK-SCCM01</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Frei</dc:creator>
  <cp:lastModifiedBy>Jenny Kerksick</cp:lastModifiedBy>
  <cp:revision>2</cp:revision>
  <cp:lastPrinted>2015-11-18T22:49:00Z</cp:lastPrinted>
  <dcterms:created xsi:type="dcterms:W3CDTF">2016-01-01T22:04:00Z</dcterms:created>
  <dcterms:modified xsi:type="dcterms:W3CDTF">2016-01-01T22:04:00Z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