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723" w:rsidRPr="00306F5A" w:rsidRDefault="001C7723" w:rsidP="001C7723">
      <w:pPr>
        <w:spacing w:after="0" w:line="240" w:lineRule="auto"/>
        <w:jc w:val="left"/>
        <w:rPr>
          <w:b/>
          <w:sz w:val="36"/>
          <w:szCs w:val="36"/>
        </w:rPr>
      </w:pPr>
      <w:r w:rsidRPr="00306F5A">
        <w:rPr>
          <w:b/>
          <w:sz w:val="36"/>
          <w:szCs w:val="36"/>
        </w:rPr>
        <w:t>EF</w:t>
      </w:r>
      <w:r w:rsidR="00C642DE" w:rsidRPr="00306F5A">
        <w:rPr>
          <w:b/>
          <w:sz w:val="36"/>
          <w:szCs w:val="36"/>
        </w:rPr>
        <w:t>COG Safety Working Group FY 20</w:t>
      </w:r>
      <w:r w:rsidR="00DE57C0" w:rsidRPr="00306F5A">
        <w:rPr>
          <w:b/>
          <w:sz w:val="36"/>
          <w:szCs w:val="36"/>
        </w:rPr>
        <w:t>20</w:t>
      </w:r>
      <w:r w:rsidRPr="00306F5A">
        <w:rPr>
          <w:b/>
          <w:sz w:val="36"/>
          <w:szCs w:val="36"/>
        </w:rPr>
        <w:t xml:space="preserve"> Annual Work Plan </w:t>
      </w:r>
    </w:p>
    <w:p w:rsidR="001C7723" w:rsidRPr="00306F5A" w:rsidRDefault="00C642DE" w:rsidP="001C7723">
      <w:pPr>
        <w:spacing w:after="0" w:line="240" w:lineRule="auto"/>
        <w:jc w:val="left"/>
        <w:rPr>
          <w:b/>
          <w:sz w:val="24"/>
          <w:szCs w:val="24"/>
        </w:rPr>
      </w:pPr>
      <w:r w:rsidRPr="00306F5A">
        <w:rPr>
          <w:b/>
          <w:sz w:val="36"/>
          <w:szCs w:val="36"/>
        </w:rPr>
        <w:t xml:space="preserve">(October 1, </w:t>
      </w:r>
      <w:r w:rsidR="00DE57C0" w:rsidRPr="00306F5A">
        <w:rPr>
          <w:b/>
          <w:sz w:val="36"/>
          <w:szCs w:val="36"/>
        </w:rPr>
        <w:t>2019</w:t>
      </w:r>
      <w:r w:rsidRPr="00306F5A">
        <w:rPr>
          <w:b/>
          <w:sz w:val="36"/>
          <w:szCs w:val="36"/>
        </w:rPr>
        <w:t xml:space="preserve"> – September 30, 20</w:t>
      </w:r>
      <w:r w:rsidR="00DE57C0" w:rsidRPr="00306F5A">
        <w:rPr>
          <w:b/>
          <w:sz w:val="36"/>
          <w:szCs w:val="36"/>
        </w:rPr>
        <w:t>20</w:t>
      </w:r>
      <w:r w:rsidR="001C7723" w:rsidRPr="00306F5A">
        <w:rPr>
          <w:b/>
          <w:sz w:val="36"/>
          <w:szCs w:val="36"/>
        </w:rPr>
        <w:t>)</w:t>
      </w:r>
    </w:p>
    <w:p w:rsidR="001C7723" w:rsidRPr="00306F5A" w:rsidRDefault="001C7723" w:rsidP="0052314A">
      <w:pPr>
        <w:spacing w:before="120" w:after="0" w:line="240" w:lineRule="auto"/>
        <w:jc w:val="left"/>
        <w:rPr>
          <w:rFonts w:ascii="Arial" w:hAnsi="Arial" w:cs="Arial"/>
          <w:b/>
          <w:sz w:val="22"/>
          <w:szCs w:val="22"/>
        </w:rPr>
      </w:pPr>
      <w:r w:rsidRPr="00306F5A">
        <w:rPr>
          <w:rFonts w:ascii="Arial" w:hAnsi="Arial" w:cs="Arial"/>
          <w:b/>
          <w:sz w:val="22"/>
          <w:szCs w:val="22"/>
        </w:rPr>
        <w:t>Purpose</w:t>
      </w:r>
    </w:p>
    <w:p w:rsidR="001C7723" w:rsidRPr="00306F5A" w:rsidRDefault="001C7723" w:rsidP="001C7723">
      <w:pPr>
        <w:spacing w:after="0" w:line="240" w:lineRule="auto"/>
        <w:jc w:val="left"/>
        <w:rPr>
          <w:rFonts w:ascii="Arial" w:hAnsi="Arial" w:cs="Arial"/>
          <w:b/>
          <w:sz w:val="22"/>
          <w:szCs w:val="22"/>
        </w:rPr>
      </w:pPr>
    </w:p>
    <w:p w:rsidR="00323003" w:rsidRPr="00C73BA6" w:rsidRDefault="001C7723" w:rsidP="00323003">
      <w:pPr>
        <w:pStyle w:val="Default"/>
        <w:rPr>
          <w:rFonts w:ascii="Arial" w:hAnsi="Arial" w:cs="Arial"/>
          <w:color w:val="auto"/>
          <w:sz w:val="22"/>
          <w:szCs w:val="22"/>
        </w:rPr>
      </w:pPr>
      <w:r w:rsidRPr="00306F5A">
        <w:rPr>
          <w:rFonts w:ascii="Arial" w:hAnsi="Arial" w:cs="Arial"/>
          <w:sz w:val="22"/>
          <w:szCs w:val="22"/>
        </w:rPr>
        <w:t>This document cont</w:t>
      </w:r>
      <w:r w:rsidR="00323003" w:rsidRPr="00306F5A">
        <w:rPr>
          <w:rFonts w:ascii="Arial" w:hAnsi="Arial" w:cs="Arial"/>
          <w:sz w:val="22"/>
          <w:szCs w:val="22"/>
        </w:rPr>
        <w:t>ains the</w:t>
      </w:r>
      <w:r w:rsidR="00323003" w:rsidRPr="00306F5A">
        <w:rPr>
          <w:rFonts w:ascii="Arial" w:hAnsi="Arial" w:cs="Arial"/>
          <w:color w:val="auto"/>
          <w:sz w:val="22"/>
          <w:szCs w:val="22"/>
        </w:rPr>
        <w:t xml:space="preserve"> Energy Facility Contractors Group (EFCOG)</w:t>
      </w:r>
      <w:r w:rsidRPr="00306F5A">
        <w:rPr>
          <w:rFonts w:ascii="Arial" w:hAnsi="Arial" w:cs="Arial"/>
          <w:sz w:val="22"/>
          <w:szCs w:val="22"/>
        </w:rPr>
        <w:t xml:space="preserve"> Safety Working Group</w:t>
      </w:r>
      <w:r w:rsidR="00323003" w:rsidRPr="00306F5A">
        <w:rPr>
          <w:rFonts w:ascii="Arial" w:hAnsi="Arial" w:cs="Arial"/>
          <w:sz w:val="22"/>
          <w:szCs w:val="22"/>
        </w:rPr>
        <w:t xml:space="preserve"> (SWG)</w:t>
      </w:r>
      <w:r w:rsidR="00EC158F" w:rsidRPr="00306F5A">
        <w:rPr>
          <w:rFonts w:ascii="Arial" w:hAnsi="Arial" w:cs="Arial"/>
          <w:sz w:val="22"/>
          <w:szCs w:val="22"/>
        </w:rPr>
        <w:t xml:space="preserve"> FY </w:t>
      </w:r>
      <w:r w:rsidR="00DE57C0" w:rsidRPr="00306F5A">
        <w:rPr>
          <w:rFonts w:ascii="Arial" w:hAnsi="Arial" w:cs="Arial"/>
          <w:sz w:val="22"/>
          <w:szCs w:val="22"/>
        </w:rPr>
        <w:t>2020</w:t>
      </w:r>
      <w:r w:rsidRPr="00306F5A">
        <w:rPr>
          <w:rFonts w:ascii="Arial" w:hAnsi="Arial" w:cs="Arial"/>
          <w:sz w:val="22"/>
          <w:szCs w:val="22"/>
        </w:rPr>
        <w:t xml:space="preserve"> Annual Work Plan</w:t>
      </w:r>
      <w:r w:rsidR="00323003" w:rsidRPr="00306F5A">
        <w:rPr>
          <w:rFonts w:ascii="Arial" w:hAnsi="Arial" w:cs="Arial"/>
          <w:sz w:val="22"/>
          <w:szCs w:val="22"/>
        </w:rPr>
        <w:t xml:space="preserve"> (AWP). The approved AWP provides authorization for EF</w:t>
      </w:r>
      <w:r w:rsidR="00164854" w:rsidRPr="00306F5A">
        <w:rPr>
          <w:rFonts w:ascii="Arial" w:hAnsi="Arial" w:cs="Arial"/>
          <w:sz w:val="22"/>
          <w:szCs w:val="22"/>
        </w:rPr>
        <w:t>COG members within the various s</w:t>
      </w:r>
      <w:r w:rsidR="00323003" w:rsidRPr="00306F5A">
        <w:rPr>
          <w:rFonts w:ascii="Arial" w:hAnsi="Arial" w:cs="Arial"/>
          <w:sz w:val="22"/>
          <w:szCs w:val="22"/>
        </w:rPr>
        <w:t xml:space="preserve">ubgroups to work on activities identified in the AWP. </w:t>
      </w:r>
      <w:r w:rsidR="00323003" w:rsidRPr="00306F5A">
        <w:rPr>
          <w:rFonts w:ascii="Arial" w:hAnsi="Arial" w:cs="Arial"/>
          <w:color w:val="auto"/>
          <w:sz w:val="22"/>
          <w:szCs w:val="22"/>
        </w:rPr>
        <w:t>It is intended that all deliverables identified in this AWP be completed during the fiscal year, however some activities may push into 20</w:t>
      </w:r>
      <w:r w:rsidR="00EC158F" w:rsidRPr="00306F5A">
        <w:rPr>
          <w:rFonts w:ascii="Arial" w:hAnsi="Arial" w:cs="Arial"/>
          <w:color w:val="auto"/>
          <w:sz w:val="22"/>
          <w:szCs w:val="22"/>
        </w:rPr>
        <w:t>2</w:t>
      </w:r>
      <w:r w:rsidR="00DE57C0" w:rsidRPr="00306F5A">
        <w:rPr>
          <w:rFonts w:ascii="Arial" w:hAnsi="Arial" w:cs="Arial"/>
          <w:color w:val="auto"/>
          <w:sz w:val="22"/>
          <w:szCs w:val="22"/>
        </w:rPr>
        <w:t>1</w:t>
      </w:r>
      <w:r w:rsidR="00323003" w:rsidRPr="00306F5A">
        <w:rPr>
          <w:rFonts w:ascii="Arial" w:hAnsi="Arial" w:cs="Arial"/>
          <w:color w:val="auto"/>
          <w:sz w:val="22"/>
          <w:szCs w:val="22"/>
        </w:rPr>
        <w:t xml:space="preserve"> due to changing priorities or other unforeseen circumstances. As a result, dates are generally not provided for deliverables. Some subgroups have identified group meetings and teleconference meetings in the work plan; other groups did not.  While not consistently identified in the plan, all groups meet periodically throughout the</w:t>
      </w:r>
      <w:r w:rsidR="00323003" w:rsidRPr="00C73BA6">
        <w:rPr>
          <w:rFonts w:ascii="Arial" w:hAnsi="Arial" w:cs="Arial"/>
          <w:color w:val="auto"/>
          <w:sz w:val="22"/>
          <w:szCs w:val="22"/>
        </w:rPr>
        <w:t xml:space="preserve"> </w:t>
      </w:r>
      <w:r w:rsidR="00B64A25" w:rsidRPr="00C73BA6">
        <w:rPr>
          <w:rFonts w:ascii="Arial" w:hAnsi="Arial" w:cs="Arial"/>
          <w:color w:val="auto"/>
          <w:sz w:val="22"/>
          <w:szCs w:val="22"/>
        </w:rPr>
        <w:t xml:space="preserve">year, </w:t>
      </w:r>
      <w:r w:rsidR="00C73BA6" w:rsidRPr="0052314A">
        <w:rPr>
          <w:rFonts w:ascii="Arial" w:hAnsi="Arial" w:cs="Arial"/>
          <w:sz w:val="22"/>
          <w:szCs w:val="22"/>
        </w:rPr>
        <w:t>which are generally determined to be authorized work activities, and exempt from DOE conference approval requirements</w:t>
      </w:r>
      <w:r w:rsidR="00C73BA6">
        <w:rPr>
          <w:rFonts w:ascii="Arial" w:hAnsi="Arial" w:cs="Arial"/>
          <w:sz w:val="22"/>
          <w:szCs w:val="22"/>
        </w:rPr>
        <w:t xml:space="preserve">. </w:t>
      </w:r>
    </w:p>
    <w:p w:rsidR="001C7723" w:rsidRPr="00306F5A" w:rsidRDefault="001C7723" w:rsidP="001C7723">
      <w:pPr>
        <w:spacing w:after="0" w:line="240" w:lineRule="auto"/>
        <w:jc w:val="left"/>
        <w:rPr>
          <w:rFonts w:ascii="Arial" w:hAnsi="Arial" w:cs="Arial"/>
          <w:sz w:val="22"/>
          <w:szCs w:val="22"/>
        </w:rPr>
      </w:pPr>
    </w:p>
    <w:p w:rsidR="00916251" w:rsidRPr="00306F5A" w:rsidRDefault="00916251" w:rsidP="00916251">
      <w:pPr>
        <w:pStyle w:val="Default"/>
        <w:rPr>
          <w:rFonts w:ascii="Arial" w:hAnsi="Arial" w:cs="Arial"/>
          <w:b/>
          <w:bCs/>
          <w:color w:val="auto"/>
          <w:sz w:val="22"/>
          <w:szCs w:val="22"/>
        </w:rPr>
      </w:pPr>
      <w:r w:rsidRPr="00306F5A">
        <w:rPr>
          <w:rFonts w:ascii="Arial" w:hAnsi="Arial" w:cs="Arial"/>
          <w:b/>
          <w:bCs/>
          <w:color w:val="auto"/>
          <w:sz w:val="22"/>
          <w:szCs w:val="22"/>
        </w:rPr>
        <w:t xml:space="preserve">Working Group Mission and Scope: </w:t>
      </w:r>
    </w:p>
    <w:p w:rsidR="005E1AA2" w:rsidRPr="00306F5A" w:rsidRDefault="005E1AA2" w:rsidP="00916251">
      <w:pPr>
        <w:pStyle w:val="Default"/>
        <w:rPr>
          <w:rFonts w:ascii="Arial" w:hAnsi="Arial" w:cs="Arial"/>
          <w:color w:val="auto"/>
          <w:sz w:val="22"/>
          <w:szCs w:val="22"/>
        </w:rPr>
      </w:pPr>
    </w:p>
    <w:p w:rsidR="00916251" w:rsidRPr="00306F5A" w:rsidRDefault="00916251" w:rsidP="00916251">
      <w:pPr>
        <w:pStyle w:val="Default"/>
        <w:rPr>
          <w:rFonts w:ascii="Arial" w:hAnsi="Arial" w:cs="Arial"/>
          <w:color w:val="auto"/>
          <w:sz w:val="22"/>
          <w:szCs w:val="22"/>
        </w:rPr>
      </w:pPr>
      <w:r w:rsidRPr="00306F5A">
        <w:rPr>
          <w:rFonts w:ascii="Arial" w:hAnsi="Arial" w:cs="Arial"/>
          <w:color w:val="auto"/>
          <w:sz w:val="22"/>
          <w:szCs w:val="22"/>
        </w:rPr>
        <w:t xml:space="preserve">The Energy Facility Contractors Group (EFCOG) Safety Working Group (SWG) is chartered to assist member companies attain and maintain the highest levels safety and regulatory performance in the operation of Department of Energy (DOE)/National Nuclear Security Administration (NNSA) facilities/projects. The SWG will achieve this by: </w:t>
      </w:r>
    </w:p>
    <w:p w:rsidR="005E1AA2" w:rsidRPr="00306F5A" w:rsidRDefault="005E1AA2" w:rsidP="00916251">
      <w:pPr>
        <w:pStyle w:val="Default"/>
        <w:rPr>
          <w:rFonts w:ascii="Arial" w:hAnsi="Arial" w:cs="Arial"/>
          <w:color w:val="auto"/>
          <w:sz w:val="22"/>
          <w:szCs w:val="22"/>
        </w:rPr>
      </w:pPr>
    </w:p>
    <w:p w:rsidR="00916251" w:rsidRPr="00306F5A" w:rsidRDefault="00916251" w:rsidP="00916251">
      <w:pPr>
        <w:pStyle w:val="Default"/>
        <w:numPr>
          <w:ilvl w:val="0"/>
          <w:numId w:val="7"/>
        </w:numPr>
        <w:spacing w:after="67"/>
        <w:rPr>
          <w:rFonts w:ascii="Arial" w:hAnsi="Arial" w:cs="Arial"/>
          <w:color w:val="auto"/>
          <w:sz w:val="22"/>
          <w:szCs w:val="22"/>
        </w:rPr>
      </w:pPr>
      <w:r w:rsidRPr="00306F5A">
        <w:rPr>
          <w:rFonts w:ascii="Arial" w:hAnsi="Arial" w:cs="Arial"/>
          <w:color w:val="auto"/>
          <w:sz w:val="22"/>
          <w:szCs w:val="22"/>
        </w:rPr>
        <w:t xml:space="preserve">Advocating for strong, effective implementation of Integrated Safety Management across departmental activities; </w:t>
      </w:r>
    </w:p>
    <w:p w:rsidR="00916251" w:rsidRPr="00306F5A" w:rsidRDefault="00916251" w:rsidP="00916251">
      <w:pPr>
        <w:pStyle w:val="Default"/>
        <w:numPr>
          <w:ilvl w:val="0"/>
          <w:numId w:val="7"/>
        </w:numPr>
        <w:spacing w:after="67"/>
        <w:rPr>
          <w:rFonts w:ascii="Arial" w:hAnsi="Arial" w:cs="Arial"/>
          <w:color w:val="auto"/>
          <w:sz w:val="22"/>
          <w:szCs w:val="22"/>
        </w:rPr>
      </w:pPr>
      <w:r w:rsidRPr="00306F5A">
        <w:rPr>
          <w:rFonts w:ascii="Arial" w:hAnsi="Arial" w:cs="Arial"/>
          <w:color w:val="auto"/>
          <w:sz w:val="22"/>
          <w:szCs w:val="22"/>
        </w:rPr>
        <w:t xml:space="preserve">Seeking out, developing, and promoting best management and operating practices; </w:t>
      </w:r>
    </w:p>
    <w:p w:rsidR="00916251" w:rsidRPr="00306F5A" w:rsidRDefault="00916251" w:rsidP="00916251">
      <w:pPr>
        <w:pStyle w:val="Default"/>
        <w:numPr>
          <w:ilvl w:val="0"/>
          <w:numId w:val="7"/>
        </w:numPr>
        <w:spacing w:after="67"/>
        <w:rPr>
          <w:rFonts w:ascii="Arial" w:hAnsi="Arial" w:cs="Arial"/>
          <w:color w:val="auto"/>
          <w:sz w:val="22"/>
          <w:szCs w:val="22"/>
        </w:rPr>
      </w:pPr>
      <w:r w:rsidRPr="00306F5A">
        <w:rPr>
          <w:rFonts w:ascii="Arial" w:hAnsi="Arial" w:cs="Arial"/>
          <w:color w:val="auto"/>
          <w:sz w:val="22"/>
          <w:szCs w:val="22"/>
        </w:rPr>
        <w:t xml:space="preserve">Facilitating the exchange of operating experiences and information on safety/regulatory programs and their effectiveness, and designing studies and developing position and technical papers to inform DOE/NNSA regulations and directives processes where appropriate; </w:t>
      </w:r>
    </w:p>
    <w:p w:rsidR="00916251" w:rsidRPr="00306F5A" w:rsidRDefault="00916251" w:rsidP="00916251">
      <w:pPr>
        <w:pStyle w:val="Default"/>
        <w:numPr>
          <w:ilvl w:val="0"/>
          <w:numId w:val="7"/>
        </w:numPr>
        <w:spacing w:after="67"/>
        <w:rPr>
          <w:rFonts w:ascii="Arial" w:hAnsi="Arial" w:cs="Arial"/>
          <w:color w:val="auto"/>
          <w:sz w:val="22"/>
          <w:szCs w:val="22"/>
        </w:rPr>
      </w:pPr>
      <w:r w:rsidRPr="00306F5A">
        <w:rPr>
          <w:rFonts w:ascii="Arial" w:hAnsi="Arial" w:cs="Arial"/>
          <w:color w:val="auto"/>
          <w:sz w:val="22"/>
          <w:szCs w:val="22"/>
        </w:rPr>
        <w:t xml:space="preserve">Providing DOE/NNSA and member companies with access to a network of subject matter experts; </w:t>
      </w:r>
    </w:p>
    <w:p w:rsidR="00916251" w:rsidRPr="00306F5A" w:rsidRDefault="00916251" w:rsidP="00916251">
      <w:pPr>
        <w:pStyle w:val="Default"/>
        <w:numPr>
          <w:ilvl w:val="0"/>
          <w:numId w:val="7"/>
        </w:numPr>
        <w:spacing w:after="67"/>
        <w:rPr>
          <w:rFonts w:ascii="Arial" w:hAnsi="Arial" w:cs="Arial"/>
          <w:color w:val="auto"/>
          <w:sz w:val="22"/>
          <w:szCs w:val="22"/>
        </w:rPr>
      </w:pPr>
      <w:r w:rsidRPr="00306F5A">
        <w:rPr>
          <w:rFonts w:ascii="Arial" w:hAnsi="Arial" w:cs="Arial"/>
          <w:color w:val="auto"/>
          <w:sz w:val="22"/>
          <w:szCs w:val="22"/>
        </w:rPr>
        <w:t xml:space="preserve">Identifying opportunities to save and/or avoid costs in the implementation of safety and regulatory programs while assisting member companies implement effective safety and regulatory programs through peer reviews and consultations; and </w:t>
      </w:r>
    </w:p>
    <w:p w:rsidR="00916251" w:rsidRPr="00306F5A" w:rsidRDefault="00916251" w:rsidP="00916251">
      <w:pPr>
        <w:pStyle w:val="Default"/>
        <w:numPr>
          <w:ilvl w:val="0"/>
          <w:numId w:val="7"/>
        </w:numPr>
        <w:rPr>
          <w:rFonts w:ascii="Arial" w:hAnsi="Arial" w:cs="Arial"/>
          <w:color w:val="auto"/>
          <w:sz w:val="22"/>
          <w:szCs w:val="22"/>
        </w:rPr>
      </w:pPr>
      <w:r w:rsidRPr="00306F5A">
        <w:rPr>
          <w:rFonts w:ascii="Arial" w:hAnsi="Arial" w:cs="Arial"/>
          <w:color w:val="auto"/>
          <w:sz w:val="22"/>
          <w:szCs w:val="22"/>
        </w:rPr>
        <w:t xml:space="preserve">Arranging for training and awareness workshops to enhance the competency of safety professionals. </w:t>
      </w:r>
    </w:p>
    <w:p w:rsidR="00916251" w:rsidRPr="00306F5A" w:rsidRDefault="00916251" w:rsidP="00916251">
      <w:pPr>
        <w:pStyle w:val="Default"/>
        <w:rPr>
          <w:rFonts w:ascii="Arial" w:hAnsi="Arial" w:cs="Arial"/>
          <w:color w:val="auto"/>
          <w:sz w:val="22"/>
          <w:szCs w:val="22"/>
        </w:rPr>
      </w:pPr>
    </w:p>
    <w:p w:rsidR="00916251" w:rsidRPr="00306F5A" w:rsidRDefault="00916251" w:rsidP="00916251">
      <w:pPr>
        <w:pStyle w:val="Default"/>
        <w:rPr>
          <w:rFonts w:ascii="Arial" w:hAnsi="Arial" w:cs="Arial"/>
          <w:color w:val="auto"/>
          <w:sz w:val="22"/>
          <w:szCs w:val="22"/>
        </w:rPr>
      </w:pPr>
      <w:r w:rsidRPr="00306F5A">
        <w:rPr>
          <w:rFonts w:ascii="Arial" w:hAnsi="Arial" w:cs="Arial"/>
          <w:color w:val="auto"/>
          <w:sz w:val="22"/>
          <w:szCs w:val="22"/>
        </w:rPr>
        <w:t xml:space="preserve">To accomplish its mission, the SWG is subdivided into </w:t>
      </w:r>
      <w:r w:rsidR="001C7723" w:rsidRPr="00306F5A">
        <w:rPr>
          <w:rFonts w:ascii="Arial" w:hAnsi="Arial" w:cs="Arial"/>
          <w:color w:val="auto"/>
          <w:sz w:val="22"/>
          <w:szCs w:val="22"/>
        </w:rPr>
        <w:t>7</w:t>
      </w:r>
      <w:r w:rsidRPr="00306F5A">
        <w:rPr>
          <w:rFonts w:ascii="Arial" w:hAnsi="Arial" w:cs="Arial"/>
          <w:iCs/>
          <w:color w:val="auto"/>
          <w:sz w:val="22"/>
          <w:szCs w:val="22"/>
        </w:rPr>
        <w:t xml:space="preserve"> </w:t>
      </w:r>
      <w:r w:rsidR="00164854" w:rsidRPr="00306F5A">
        <w:rPr>
          <w:rFonts w:ascii="Arial" w:hAnsi="Arial" w:cs="Arial"/>
          <w:iCs/>
          <w:color w:val="auto"/>
          <w:sz w:val="22"/>
          <w:szCs w:val="22"/>
        </w:rPr>
        <w:t>s</w:t>
      </w:r>
      <w:r w:rsidRPr="00306F5A">
        <w:rPr>
          <w:rFonts w:ascii="Arial" w:hAnsi="Arial" w:cs="Arial"/>
          <w:iCs/>
          <w:color w:val="auto"/>
          <w:sz w:val="22"/>
          <w:szCs w:val="22"/>
        </w:rPr>
        <w:t>ubgroups</w:t>
      </w:r>
      <w:r w:rsidR="00B64A25" w:rsidRPr="00306F5A">
        <w:rPr>
          <w:rFonts w:ascii="Arial" w:hAnsi="Arial" w:cs="Arial"/>
          <w:iCs/>
          <w:color w:val="auto"/>
          <w:sz w:val="22"/>
          <w:szCs w:val="22"/>
        </w:rPr>
        <w:t xml:space="preserve"> and </w:t>
      </w:r>
      <w:r w:rsidR="001C7723" w:rsidRPr="00306F5A">
        <w:rPr>
          <w:rFonts w:ascii="Arial" w:hAnsi="Arial" w:cs="Arial"/>
          <w:iCs/>
          <w:color w:val="auto"/>
          <w:sz w:val="22"/>
          <w:szCs w:val="22"/>
        </w:rPr>
        <w:t>associated task groups</w:t>
      </w:r>
      <w:r w:rsidR="00B64A25" w:rsidRPr="00306F5A">
        <w:rPr>
          <w:rFonts w:ascii="Arial" w:hAnsi="Arial" w:cs="Arial"/>
          <w:iCs/>
          <w:color w:val="auto"/>
          <w:sz w:val="22"/>
          <w:szCs w:val="22"/>
        </w:rPr>
        <w:t>,</w:t>
      </w:r>
      <w:r w:rsidR="003613DF" w:rsidRPr="00306F5A">
        <w:rPr>
          <w:rFonts w:ascii="Arial" w:hAnsi="Arial" w:cs="Arial"/>
          <w:iCs/>
          <w:color w:val="auto"/>
          <w:sz w:val="22"/>
          <w:szCs w:val="22"/>
        </w:rPr>
        <w:t xml:space="preserve"> which are listed </w:t>
      </w:r>
      <w:r w:rsidR="00164854" w:rsidRPr="00306F5A">
        <w:rPr>
          <w:rFonts w:ascii="Arial" w:hAnsi="Arial" w:cs="Arial"/>
          <w:iCs/>
          <w:color w:val="auto"/>
          <w:sz w:val="22"/>
          <w:szCs w:val="22"/>
        </w:rPr>
        <w:t xml:space="preserve">below. The AWP is </w:t>
      </w:r>
      <w:r w:rsidR="00B64A25" w:rsidRPr="00306F5A">
        <w:rPr>
          <w:rFonts w:ascii="Arial" w:hAnsi="Arial" w:cs="Arial"/>
          <w:iCs/>
          <w:color w:val="auto"/>
          <w:sz w:val="22"/>
          <w:szCs w:val="22"/>
        </w:rPr>
        <w:t>organized</w:t>
      </w:r>
      <w:r w:rsidR="00164854" w:rsidRPr="00306F5A">
        <w:rPr>
          <w:rFonts w:ascii="Arial" w:hAnsi="Arial" w:cs="Arial"/>
          <w:iCs/>
          <w:color w:val="auto"/>
          <w:sz w:val="22"/>
          <w:szCs w:val="22"/>
        </w:rPr>
        <w:t xml:space="preserve"> by s</w:t>
      </w:r>
      <w:r w:rsidR="003613DF" w:rsidRPr="00306F5A">
        <w:rPr>
          <w:rFonts w:ascii="Arial" w:hAnsi="Arial" w:cs="Arial"/>
          <w:iCs/>
          <w:color w:val="auto"/>
          <w:sz w:val="22"/>
          <w:szCs w:val="22"/>
        </w:rPr>
        <w:t>ubgroup</w:t>
      </w:r>
      <w:r w:rsidRPr="00306F5A">
        <w:rPr>
          <w:rFonts w:ascii="Arial" w:hAnsi="Arial" w:cs="Arial"/>
          <w:color w:val="auto"/>
          <w:sz w:val="22"/>
          <w:szCs w:val="22"/>
        </w:rPr>
        <w:t xml:space="preserve">: </w:t>
      </w:r>
    </w:p>
    <w:p w:rsidR="005E1AA2" w:rsidRPr="00306F5A" w:rsidRDefault="005E1AA2" w:rsidP="00916251">
      <w:pPr>
        <w:pStyle w:val="Default"/>
        <w:rPr>
          <w:rFonts w:ascii="Arial" w:hAnsi="Arial" w:cs="Arial"/>
          <w:color w:val="auto"/>
          <w:sz w:val="22"/>
          <w:szCs w:val="22"/>
        </w:rPr>
      </w:pPr>
    </w:p>
    <w:p w:rsidR="005E1AA2" w:rsidRPr="00306F5A" w:rsidRDefault="005E1AA2" w:rsidP="005E1AA2">
      <w:pPr>
        <w:pStyle w:val="Default"/>
        <w:numPr>
          <w:ilvl w:val="0"/>
          <w:numId w:val="7"/>
        </w:numPr>
        <w:rPr>
          <w:rFonts w:ascii="Arial" w:hAnsi="Arial" w:cs="Arial"/>
          <w:color w:val="auto"/>
          <w:sz w:val="22"/>
          <w:szCs w:val="22"/>
        </w:rPr>
      </w:pPr>
      <w:r w:rsidRPr="00306F5A">
        <w:rPr>
          <w:rFonts w:ascii="Arial" w:hAnsi="Arial" w:cs="Arial"/>
          <w:color w:val="auto"/>
          <w:sz w:val="22"/>
          <w:szCs w:val="22"/>
        </w:rPr>
        <w:t xml:space="preserve">Engineering Practices  </w:t>
      </w:r>
    </w:p>
    <w:p w:rsidR="00916251" w:rsidRPr="00306F5A" w:rsidRDefault="00916251" w:rsidP="00916251">
      <w:pPr>
        <w:pStyle w:val="Default"/>
        <w:numPr>
          <w:ilvl w:val="0"/>
          <w:numId w:val="7"/>
        </w:numPr>
        <w:spacing w:after="66"/>
        <w:rPr>
          <w:rFonts w:ascii="Arial" w:hAnsi="Arial" w:cs="Arial"/>
          <w:color w:val="auto"/>
          <w:sz w:val="22"/>
          <w:szCs w:val="22"/>
        </w:rPr>
      </w:pPr>
      <w:r w:rsidRPr="00306F5A">
        <w:rPr>
          <w:rFonts w:ascii="Arial" w:hAnsi="Arial" w:cs="Arial"/>
          <w:color w:val="auto"/>
          <w:sz w:val="22"/>
          <w:szCs w:val="22"/>
        </w:rPr>
        <w:t xml:space="preserve">Integrated Safety Management (ISM) </w:t>
      </w:r>
    </w:p>
    <w:p w:rsidR="005E1AA2" w:rsidRPr="00306F5A" w:rsidRDefault="005E1AA2" w:rsidP="00916251">
      <w:pPr>
        <w:pStyle w:val="Default"/>
        <w:numPr>
          <w:ilvl w:val="0"/>
          <w:numId w:val="7"/>
        </w:numPr>
        <w:spacing w:after="66"/>
        <w:rPr>
          <w:rFonts w:ascii="Arial" w:hAnsi="Arial" w:cs="Arial"/>
          <w:color w:val="auto"/>
          <w:sz w:val="22"/>
          <w:szCs w:val="22"/>
        </w:rPr>
      </w:pPr>
      <w:r w:rsidRPr="00306F5A">
        <w:rPr>
          <w:rFonts w:ascii="Arial" w:hAnsi="Arial" w:cs="Arial"/>
          <w:color w:val="auto"/>
          <w:sz w:val="22"/>
          <w:szCs w:val="22"/>
        </w:rPr>
        <w:t>Nuclear &amp; Facility Safety</w:t>
      </w:r>
    </w:p>
    <w:p w:rsidR="00B64A25" w:rsidRPr="00306F5A" w:rsidRDefault="00B64A25" w:rsidP="00B64A25">
      <w:pPr>
        <w:pStyle w:val="Default"/>
        <w:numPr>
          <w:ilvl w:val="0"/>
          <w:numId w:val="7"/>
        </w:numPr>
        <w:spacing w:after="66"/>
        <w:rPr>
          <w:rFonts w:ascii="Arial" w:hAnsi="Arial" w:cs="Arial"/>
          <w:color w:val="auto"/>
          <w:sz w:val="22"/>
          <w:szCs w:val="22"/>
        </w:rPr>
      </w:pPr>
      <w:r w:rsidRPr="00306F5A">
        <w:rPr>
          <w:rFonts w:ascii="Arial" w:hAnsi="Arial" w:cs="Arial"/>
          <w:color w:val="auto"/>
          <w:sz w:val="22"/>
          <w:szCs w:val="22"/>
        </w:rPr>
        <w:t xml:space="preserve">Quality Assurance </w:t>
      </w:r>
    </w:p>
    <w:p w:rsidR="005E1AA2" w:rsidRPr="00306F5A" w:rsidRDefault="005E1AA2" w:rsidP="00916251">
      <w:pPr>
        <w:pStyle w:val="Default"/>
        <w:numPr>
          <w:ilvl w:val="0"/>
          <w:numId w:val="7"/>
        </w:numPr>
        <w:spacing w:after="66"/>
        <w:rPr>
          <w:rFonts w:ascii="Arial" w:hAnsi="Arial" w:cs="Arial"/>
          <w:color w:val="auto"/>
          <w:sz w:val="22"/>
          <w:szCs w:val="22"/>
        </w:rPr>
      </w:pPr>
      <w:r w:rsidRPr="00306F5A">
        <w:rPr>
          <w:rFonts w:ascii="Arial" w:hAnsi="Arial" w:cs="Arial"/>
          <w:color w:val="auto"/>
          <w:sz w:val="22"/>
          <w:szCs w:val="22"/>
        </w:rPr>
        <w:t>Regulatory &amp; Enforcement</w:t>
      </w:r>
    </w:p>
    <w:p w:rsidR="00916251" w:rsidRPr="00306F5A" w:rsidRDefault="005E1AA2" w:rsidP="00916251">
      <w:pPr>
        <w:pStyle w:val="Default"/>
        <w:numPr>
          <w:ilvl w:val="0"/>
          <w:numId w:val="7"/>
        </w:numPr>
        <w:spacing w:after="66"/>
        <w:rPr>
          <w:rFonts w:ascii="Arial" w:hAnsi="Arial" w:cs="Arial"/>
          <w:color w:val="auto"/>
          <w:sz w:val="22"/>
          <w:szCs w:val="22"/>
        </w:rPr>
      </w:pPr>
      <w:r w:rsidRPr="00306F5A">
        <w:rPr>
          <w:rFonts w:ascii="Arial" w:hAnsi="Arial" w:cs="Arial"/>
          <w:color w:val="auto"/>
          <w:sz w:val="22"/>
          <w:szCs w:val="22"/>
        </w:rPr>
        <w:t>Sustainability and Environment</w:t>
      </w:r>
    </w:p>
    <w:p w:rsidR="005E1AA2" w:rsidRPr="00306F5A" w:rsidRDefault="005E1AA2" w:rsidP="005E1AA2">
      <w:pPr>
        <w:pStyle w:val="Default"/>
        <w:numPr>
          <w:ilvl w:val="0"/>
          <w:numId w:val="7"/>
        </w:numPr>
        <w:spacing w:after="66"/>
        <w:rPr>
          <w:rFonts w:ascii="Arial" w:hAnsi="Arial" w:cs="Arial"/>
          <w:color w:val="auto"/>
          <w:sz w:val="22"/>
          <w:szCs w:val="22"/>
        </w:rPr>
      </w:pPr>
      <w:r w:rsidRPr="00306F5A">
        <w:rPr>
          <w:rFonts w:ascii="Arial" w:hAnsi="Arial" w:cs="Arial"/>
          <w:color w:val="auto"/>
          <w:sz w:val="22"/>
          <w:szCs w:val="22"/>
        </w:rPr>
        <w:t xml:space="preserve">Worker Safety &amp; Health </w:t>
      </w:r>
    </w:p>
    <w:p w:rsidR="00916251" w:rsidRPr="00306F5A" w:rsidRDefault="00916251" w:rsidP="00916251">
      <w:pPr>
        <w:pStyle w:val="Default"/>
        <w:rPr>
          <w:rFonts w:ascii="Arial" w:hAnsi="Arial" w:cs="Arial"/>
          <w:color w:val="auto"/>
          <w:sz w:val="22"/>
          <w:szCs w:val="22"/>
        </w:rPr>
      </w:pPr>
    </w:p>
    <w:p w:rsidR="00916251" w:rsidRPr="00306F5A" w:rsidRDefault="00961169" w:rsidP="00916251">
      <w:pPr>
        <w:pStyle w:val="Default"/>
        <w:rPr>
          <w:rFonts w:ascii="Arial" w:hAnsi="Arial" w:cs="Arial"/>
          <w:color w:val="auto"/>
          <w:sz w:val="22"/>
          <w:szCs w:val="22"/>
        </w:rPr>
      </w:pPr>
      <w:r w:rsidRPr="00306F5A">
        <w:rPr>
          <w:rFonts w:ascii="Arial" w:hAnsi="Arial" w:cs="Arial"/>
          <w:color w:val="auto"/>
          <w:sz w:val="22"/>
          <w:szCs w:val="22"/>
        </w:rPr>
        <w:t>“Safety</w:t>
      </w:r>
      <w:r w:rsidR="00850573">
        <w:rPr>
          <w:rFonts w:ascii="Arial" w:hAnsi="Arial" w:cs="Arial"/>
          <w:color w:val="auto"/>
          <w:sz w:val="22"/>
          <w:szCs w:val="22"/>
        </w:rPr>
        <w:t>,</w:t>
      </w:r>
      <w:r w:rsidRPr="00306F5A">
        <w:rPr>
          <w:rFonts w:ascii="Arial" w:hAnsi="Arial" w:cs="Arial"/>
          <w:color w:val="auto"/>
          <w:sz w:val="22"/>
          <w:szCs w:val="22"/>
        </w:rPr>
        <w:t xml:space="preserve">” </w:t>
      </w:r>
      <w:r w:rsidR="00916251" w:rsidRPr="00306F5A">
        <w:rPr>
          <w:rFonts w:ascii="Arial" w:hAnsi="Arial" w:cs="Arial"/>
          <w:color w:val="auto"/>
          <w:sz w:val="22"/>
          <w:szCs w:val="22"/>
        </w:rPr>
        <w:t>as it relates to the scope of the working group, is inclusive to the Department’s implementation of Integrated Safety Management Systems (ISMS)</w:t>
      </w:r>
      <w:r w:rsidRPr="00306F5A">
        <w:rPr>
          <w:rFonts w:ascii="Arial" w:hAnsi="Arial" w:cs="Arial"/>
          <w:color w:val="auto"/>
          <w:sz w:val="22"/>
          <w:szCs w:val="22"/>
        </w:rPr>
        <w:t>. Safety inc</w:t>
      </w:r>
      <w:r w:rsidR="00916251" w:rsidRPr="00306F5A">
        <w:rPr>
          <w:rFonts w:ascii="Arial" w:hAnsi="Arial" w:cs="Arial"/>
          <w:color w:val="auto"/>
          <w:sz w:val="22"/>
          <w:szCs w:val="22"/>
        </w:rPr>
        <w:t xml:space="preserve">ludes a number of related functions such as contractor assurance, work planning and control, engineering processes, radiological protection, nuclear and facility safety, criticality safety, fire protection, worker safety and health, industrial hygiene, environmental protection, quality assurance, and related regulatory programs.  </w:t>
      </w:r>
    </w:p>
    <w:p w:rsidR="00BE5430" w:rsidRPr="00306F5A" w:rsidRDefault="00BE5430" w:rsidP="00BE5430">
      <w:pPr>
        <w:pStyle w:val="PlainText"/>
        <w:rPr>
          <w:rFonts w:ascii="Arial" w:hAnsi="Arial" w:cs="Arial"/>
          <w:szCs w:val="22"/>
        </w:rPr>
      </w:pPr>
    </w:p>
    <w:p w:rsidR="00BE5430" w:rsidRPr="00306F5A" w:rsidRDefault="00254AFD" w:rsidP="00BE5430">
      <w:pPr>
        <w:pStyle w:val="PlainText"/>
        <w:rPr>
          <w:rFonts w:ascii="Arial" w:hAnsi="Arial" w:cs="Arial"/>
        </w:rPr>
      </w:pPr>
      <w:r>
        <w:rPr>
          <w:rFonts w:ascii="Arial" w:hAnsi="Arial" w:cs="Arial"/>
        </w:rPr>
        <w:t>S</w:t>
      </w:r>
      <w:r w:rsidR="00E65FCC" w:rsidRPr="00306F5A">
        <w:rPr>
          <w:rFonts w:ascii="Arial" w:hAnsi="Arial" w:cs="Arial"/>
        </w:rPr>
        <w:t xml:space="preserve">trategic </w:t>
      </w:r>
      <w:r w:rsidR="00961169" w:rsidRPr="00306F5A">
        <w:rPr>
          <w:rFonts w:ascii="Arial" w:hAnsi="Arial" w:cs="Arial"/>
        </w:rPr>
        <w:t xml:space="preserve">focus areas </w:t>
      </w:r>
      <w:r>
        <w:rPr>
          <w:rFonts w:ascii="Arial" w:hAnsi="Arial" w:cs="Arial"/>
        </w:rPr>
        <w:t xml:space="preserve">identified by the EFCOG Board that are addressed </w:t>
      </w:r>
      <w:r w:rsidR="00961169" w:rsidRPr="00306F5A">
        <w:rPr>
          <w:rFonts w:ascii="Arial" w:hAnsi="Arial" w:cs="Arial"/>
        </w:rPr>
        <w:t>in the Plan</w:t>
      </w:r>
      <w:r w:rsidR="00E65FCC" w:rsidRPr="00306F5A">
        <w:rPr>
          <w:rFonts w:ascii="Arial" w:hAnsi="Arial" w:cs="Arial"/>
        </w:rPr>
        <w:t xml:space="preserve"> are</w:t>
      </w:r>
      <w:r w:rsidR="00961169" w:rsidRPr="00306F5A">
        <w:rPr>
          <w:rFonts w:ascii="Arial" w:hAnsi="Arial" w:cs="Arial"/>
        </w:rPr>
        <w:t>:</w:t>
      </w:r>
    </w:p>
    <w:p w:rsidR="00961169" w:rsidRPr="00306F5A" w:rsidRDefault="00961169" w:rsidP="00BE5430">
      <w:pPr>
        <w:pStyle w:val="PlainText"/>
        <w:numPr>
          <w:ilvl w:val="0"/>
          <w:numId w:val="20"/>
        </w:numPr>
        <w:rPr>
          <w:rFonts w:ascii="Arial" w:hAnsi="Arial" w:cs="Arial"/>
        </w:rPr>
      </w:pPr>
      <w:r w:rsidRPr="00306F5A">
        <w:rPr>
          <w:rFonts w:ascii="Arial" w:hAnsi="Arial" w:cs="Arial"/>
        </w:rPr>
        <w:t>Supply Chain Delivery</w:t>
      </w:r>
      <w:r w:rsidR="00BB3C51" w:rsidRPr="00306F5A">
        <w:rPr>
          <w:rFonts w:ascii="Arial" w:hAnsi="Arial" w:cs="Arial"/>
        </w:rPr>
        <w:t>*</w:t>
      </w:r>
      <w:r w:rsidR="00E65FCC" w:rsidRPr="00306F5A">
        <w:rPr>
          <w:rFonts w:ascii="Arial" w:hAnsi="Arial" w:cs="Arial"/>
        </w:rPr>
        <w:t>:</w:t>
      </w:r>
      <w:r w:rsidRPr="00306F5A">
        <w:rPr>
          <w:rFonts w:ascii="Arial" w:hAnsi="Arial" w:cs="Arial"/>
        </w:rPr>
        <w:t xml:space="preserve">  </w:t>
      </w:r>
      <w:r w:rsidR="00BE5430" w:rsidRPr="00306F5A">
        <w:rPr>
          <w:rFonts w:ascii="Arial" w:hAnsi="Arial" w:cs="Arial"/>
        </w:rPr>
        <w:t xml:space="preserve">Identification of common suppliers used by different (NNSA) </w:t>
      </w:r>
      <w:r w:rsidR="0012050B" w:rsidRPr="00306F5A">
        <w:rPr>
          <w:rFonts w:ascii="Arial" w:hAnsi="Arial" w:cs="Arial"/>
        </w:rPr>
        <w:t>sites.</w:t>
      </w:r>
    </w:p>
    <w:p w:rsidR="00961169" w:rsidRPr="00306F5A" w:rsidRDefault="00961169" w:rsidP="00BE5430">
      <w:pPr>
        <w:pStyle w:val="PlainText"/>
        <w:numPr>
          <w:ilvl w:val="0"/>
          <w:numId w:val="18"/>
        </w:numPr>
        <w:rPr>
          <w:rFonts w:ascii="Arial" w:hAnsi="Arial" w:cs="Arial"/>
        </w:rPr>
      </w:pPr>
      <w:r w:rsidRPr="00306F5A">
        <w:rPr>
          <w:rFonts w:ascii="Arial" w:hAnsi="Arial" w:cs="Arial"/>
        </w:rPr>
        <w:t xml:space="preserve">Project Delivery: </w:t>
      </w:r>
      <w:r w:rsidR="00BE5430" w:rsidRPr="00306F5A">
        <w:rPr>
          <w:rFonts w:ascii="Arial" w:hAnsi="Arial" w:cs="Arial"/>
        </w:rPr>
        <w:t xml:space="preserve">No initiatives </w:t>
      </w:r>
    </w:p>
    <w:p w:rsidR="00961169" w:rsidRPr="00306F5A" w:rsidRDefault="00961169" w:rsidP="00BE5430">
      <w:pPr>
        <w:pStyle w:val="PlainText"/>
        <w:numPr>
          <w:ilvl w:val="0"/>
          <w:numId w:val="18"/>
        </w:numPr>
        <w:rPr>
          <w:rFonts w:ascii="Arial" w:hAnsi="Arial" w:cs="Arial"/>
        </w:rPr>
      </w:pPr>
      <w:r w:rsidRPr="00306F5A">
        <w:rPr>
          <w:rFonts w:ascii="Arial" w:hAnsi="Arial" w:cs="Arial"/>
        </w:rPr>
        <w:t>Human Capital</w:t>
      </w:r>
      <w:r w:rsidR="00BB3C51" w:rsidRPr="00306F5A">
        <w:rPr>
          <w:rFonts w:ascii="Arial" w:hAnsi="Arial" w:cs="Arial"/>
        </w:rPr>
        <w:t>**</w:t>
      </w:r>
      <w:r w:rsidRPr="00306F5A">
        <w:rPr>
          <w:rFonts w:ascii="Arial" w:hAnsi="Arial" w:cs="Arial"/>
        </w:rPr>
        <w:t xml:space="preserve">:  </w:t>
      </w:r>
      <w:r w:rsidR="00BE5430" w:rsidRPr="00306F5A">
        <w:rPr>
          <w:rFonts w:ascii="Arial" w:hAnsi="Arial" w:cs="Arial"/>
        </w:rPr>
        <w:t xml:space="preserve">Development of </w:t>
      </w:r>
      <w:r w:rsidRPr="00306F5A">
        <w:rPr>
          <w:rFonts w:ascii="Arial" w:hAnsi="Arial" w:cs="Arial"/>
        </w:rPr>
        <w:t xml:space="preserve">future </w:t>
      </w:r>
      <w:r w:rsidR="00BE5430" w:rsidRPr="00306F5A">
        <w:rPr>
          <w:rFonts w:ascii="Arial" w:hAnsi="Arial" w:cs="Arial"/>
        </w:rPr>
        <w:t>workforce within DO</w:t>
      </w:r>
      <w:r w:rsidRPr="00306F5A">
        <w:rPr>
          <w:rFonts w:ascii="Arial" w:hAnsi="Arial" w:cs="Arial"/>
        </w:rPr>
        <w:t xml:space="preserve">E.  </w:t>
      </w:r>
    </w:p>
    <w:p w:rsidR="00961169" w:rsidRPr="00306F5A" w:rsidRDefault="00961169" w:rsidP="00BE5430">
      <w:pPr>
        <w:pStyle w:val="PlainText"/>
        <w:numPr>
          <w:ilvl w:val="0"/>
          <w:numId w:val="18"/>
        </w:numPr>
        <w:rPr>
          <w:rFonts w:ascii="Arial" w:hAnsi="Arial" w:cs="Arial"/>
        </w:rPr>
      </w:pPr>
      <w:r w:rsidRPr="00306F5A">
        <w:rPr>
          <w:rFonts w:ascii="Arial" w:hAnsi="Arial" w:cs="Arial"/>
        </w:rPr>
        <w:t>Data Quality/Perfor</w:t>
      </w:r>
      <w:r w:rsidR="00BE5430" w:rsidRPr="00306F5A">
        <w:rPr>
          <w:rFonts w:ascii="Arial" w:hAnsi="Arial" w:cs="Arial"/>
        </w:rPr>
        <w:t>mance Assurance</w:t>
      </w:r>
      <w:r w:rsidR="00BB3C51" w:rsidRPr="00306F5A">
        <w:rPr>
          <w:rFonts w:ascii="Arial" w:hAnsi="Arial" w:cs="Arial"/>
        </w:rPr>
        <w:t>***</w:t>
      </w:r>
      <w:r w:rsidR="00BE5430" w:rsidRPr="00306F5A">
        <w:rPr>
          <w:rFonts w:ascii="Arial" w:hAnsi="Arial" w:cs="Arial"/>
        </w:rPr>
        <w:t>:  Concerns on</w:t>
      </w:r>
      <w:r w:rsidRPr="00306F5A">
        <w:rPr>
          <w:rFonts w:ascii="Arial" w:hAnsi="Arial" w:cs="Arial"/>
        </w:rPr>
        <w:t xml:space="preserve"> data quality </w:t>
      </w:r>
      <w:r w:rsidR="00BE5430" w:rsidRPr="00306F5A">
        <w:rPr>
          <w:rFonts w:ascii="Arial" w:hAnsi="Arial" w:cs="Arial"/>
        </w:rPr>
        <w:t xml:space="preserve">and recent </w:t>
      </w:r>
      <w:r w:rsidRPr="00306F5A">
        <w:rPr>
          <w:rFonts w:ascii="Arial" w:hAnsi="Arial" w:cs="Arial"/>
        </w:rPr>
        <w:t xml:space="preserve">shipment </w:t>
      </w:r>
      <w:r w:rsidR="00BE5430" w:rsidRPr="00306F5A">
        <w:rPr>
          <w:rFonts w:ascii="Arial" w:hAnsi="Arial" w:cs="Arial"/>
        </w:rPr>
        <w:t>issues.</w:t>
      </w:r>
      <w:r w:rsidRPr="00306F5A">
        <w:rPr>
          <w:rFonts w:ascii="Arial" w:hAnsi="Arial" w:cs="Arial"/>
        </w:rPr>
        <w:t xml:space="preserve">  </w:t>
      </w:r>
      <w:r w:rsidR="00BE5430" w:rsidRPr="00306F5A">
        <w:rPr>
          <w:rFonts w:ascii="Arial" w:hAnsi="Arial" w:cs="Arial"/>
        </w:rPr>
        <w:t xml:space="preserve">Identify how contractors can </w:t>
      </w:r>
      <w:r w:rsidRPr="00306F5A">
        <w:rPr>
          <w:rFonts w:ascii="Arial" w:hAnsi="Arial" w:cs="Arial"/>
        </w:rPr>
        <w:t xml:space="preserve">increase the probability that we catch these </w:t>
      </w:r>
      <w:r w:rsidR="00BE5430" w:rsidRPr="00306F5A">
        <w:rPr>
          <w:rFonts w:ascii="Arial" w:hAnsi="Arial" w:cs="Arial"/>
        </w:rPr>
        <w:t xml:space="preserve">types of issues </w:t>
      </w:r>
      <w:r w:rsidRPr="00306F5A">
        <w:rPr>
          <w:rFonts w:ascii="Arial" w:hAnsi="Arial" w:cs="Arial"/>
        </w:rPr>
        <w:t xml:space="preserve">before they </w:t>
      </w:r>
      <w:r w:rsidR="00BE5430" w:rsidRPr="00306F5A">
        <w:rPr>
          <w:rFonts w:ascii="Arial" w:hAnsi="Arial" w:cs="Arial"/>
        </w:rPr>
        <w:t>happen.</w:t>
      </w:r>
    </w:p>
    <w:p w:rsidR="00961169" w:rsidRPr="00306F5A" w:rsidRDefault="00961169" w:rsidP="00961169">
      <w:pPr>
        <w:pStyle w:val="PlainText"/>
        <w:rPr>
          <w:rFonts w:ascii="Arial" w:hAnsi="Arial" w:cs="Arial"/>
        </w:rPr>
      </w:pPr>
    </w:p>
    <w:p w:rsidR="00101AC1" w:rsidRPr="00306F5A" w:rsidRDefault="00101AC1" w:rsidP="00916251">
      <w:pPr>
        <w:tabs>
          <w:tab w:val="left" w:pos="4560"/>
        </w:tabs>
        <w:spacing w:line="240" w:lineRule="auto"/>
        <w:rPr>
          <w:rFonts w:ascii="Arial" w:hAnsi="Arial" w:cs="Arial"/>
          <w:sz w:val="22"/>
          <w:szCs w:val="22"/>
        </w:rPr>
      </w:pPr>
    </w:p>
    <w:p w:rsidR="00916251" w:rsidRPr="00306F5A" w:rsidRDefault="006932FE" w:rsidP="00916251">
      <w:pPr>
        <w:tabs>
          <w:tab w:val="left" w:pos="4560"/>
        </w:tabs>
        <w:spacing w:line="240" w:lineRule="auto"/>
        <w:rPr>
          <w:rFonts w:ascii="Arial" w:hAnsi="Arial" w:cs="Arial"/>
          <w:sz w:val="22"/>
          <w:szCs w:val="22"/>
        </w:rPr>
      </w:pPr>
      <w:r w:rsidRPr="00306F5A">
        <w:rPr>
          <w:rFonts w:ascii="Arial" w:hAnsi="Arial" w:cs="Arial"/>
          <w:sz w:val="22"/>
          <w:szCs w:val="22"/>
        </w:rPr>
        <w:t>Approved</w:t>
      </w:r>
      <w:r w:rsidR="00916251" w:rsidRPr="00306F5A">
        <w:rPr>
          <w:rFonts w:ascii="Arial" w:hAnsi="Arial" w:cs="Arial"/>
          <w:sz w:val="22"/>
          <w:szCs w:val="22"/>
        </w:rPr>
        <w:t xml:space="preserve"> by: </w:t>
      </w:r>
      <w:r w:rsidR="00FE1FEE" w:rsidRPr="00306F5A">
        <w:rPr>
          <w:rFonts w:ascii="Arial" w:hAnsi="Arial" w:cs="Arial"/>
          <w:sz w:val="22"/>
          <w:szCs w:val="22"/>
        </w:rPr>
        <w:t xml:space="preserve">        </w:t>
      </w:r>
      <w:r w:rsidR="009F3148" w:rsidRPr="00306F5A">
        <w:rPr>
          <w:rFonts w:ascii="Arial" w:hAnsi="Arial" w:cs="Arial"/>
          <w:sz w:val="22"/>
          <w:szCs w:val="22"/>
        </w:rPr>
        <w:t>Signature on file</w:t>
      </w:r>
      <w:r w:rsidR="00FE1FEE" w:rsidRPr="00306F5A">
        <w:rPr>
          <w:rFonts w:ascii="Arial" w:hAnsi="Arial" w:cs="Arial"/>
          <w:sz w:val="22"/>
          <w:szCs w:val="22"/>
        </w:rPr>
        <w:t xml:space="preserve">            </w:t>
      </w:r>
      <w:r w:rsidR="00852251" w:rsidRPr="00306F5A">
        <w:rPr>
          <w:rFonts w:ascii="Arial" w:hAnsi="Arial" w:cs="Arial"/>
          <w:sz w:val="22"/>
          <w:szCs w:val="22"/>
        </w:rPr>
        <w:t xml:space="preserve"> </w:t>
      </w:r>
      <w:r w:rsidR="00916251" w:rsidRPr="00306F5A">
        <w:rPr>
          <w:rFonts w:ascii="Arial" w:hAnsi="Arial" w:cs="Arial"/>
          <w:sz w:val="22"/>
          <w:szCs w:val="22"/>
        </w:rPr>
        <w:t xml:space="preserve">   Date: </w:t>
      </w:r>
      <w:r w:rsidR="00FE1FEE" w:rsidRPr="00306F5A">
        <w:rPr>
          <w:rFonts w:ascii="Arial" w:hAnsi="Arial" w:cs="Arial"/>
          <w:sz w:val="22"/>
          <w:szCs w:val="22"/>
        </w:rPr>
        <w:t xml:space="preserve">    </w:t>
      </w:r>
      <w:r w:rsidR="009F3148" w:rsidRPr="00306F5A">
        <w:rPr>
          <w:rFonts w:ascii="Arial" w:hAnsi="Arial" w:cs="Arial"/>
          <w:sz w:val="22"/>
          <w:szCs w:val="22"/>
        </w:rPr>
        <w:t>9/16/2019</w:t>
      </w:r>
    </w:p>
    <w:p w:rsidR="00423B56" w:rsidRPr="00306F5A" w:rsidRDefault="00916251" w:rsidP="00423B56">
      <w:pPr>
        <w:tabs>
          <w:tab w:val="left" w:pos="4560"/>
        </w:tabs>
        <w:spacing w:after="0" w:line="240" w:lineRule="auto"/>
        <w:rPr>
          <w:rFonts w:ascii="Arial" w:hAnsi="Arial" w:cs="Arial"/>
          <w:sz w:val="22"/>
          <w:szCs w:val="22"/>
        </w:rPr>
      </w:pPr>
      <w:r w:rsidRPr="00306F5A">
        <w:rPr>
          <w:rFonts w:ascii="Arial" w:hAnsi="Arial" w:cs="Arial"/>
          <w:sz w:val="22"/>
          <w:szCs w:val="22"/>
        </w:rPr>
        <w:t xml:space="preserve">                       John McDonald, </w:t>
      </w:r>
    </w:p>
    <w:p w:rsidR="00916251" w:rsidRPr="00306F5A" w:rsidRDefault="00423B56" w:rsidP="00423B56">
      <w:pPr>
        <w:tabs>
          <w:tab w:val="left" w:pos="810"/>
        </w:tabs>
        <w:spacing w:after="0" w:line="240" w:lineRule="auto"/>
        <w:rPr>
          <w:rFonts w:ascii="Arial" w:hAnsi="Arial" w:cs="Arial"/>
          <w:sz w:val="22"/>
          <w:szCs w:val="22"/>
        </w:rPr>
      </w:pPr>
      <w:r w:rsidRPr="00306F5A">
        <w:rPr>
          <w:rFonts w:ascii="Arial" w:hAnsi="Arial" w:cs="Arial"/>
          <w:sz w:val="22"/>
          <w:szCs w:val="22"/>
        </w:rPr>
        <w:tab/>
      </w:r>
      <w:r w:rsidRPr="00306F5A">
        <w:rPr>
          <w:rFonts w:ascii="Arial" w:hAnsi="Arial" w:cs="Arial"/>
          <w:sz w:val="22"/>
          <w:szCs w:val="22"/>
        </w:rPr>
        <w:tab/>
      </w:r>
      <w:r w:rsidR="00916251" w:rsidRPr="00306F5A">
        <w:rPr>
          <w:rFonts w:ascii="Arial" w:hAnsi="Arial" w:cs="Arial"/>
          <w:sz w:val="22"/>
          <w:szCs w:val="22"/>
        </w:rPr>
        <w:t>Safety Working Group Chair</w:t>
      </w:r>
    </w:p>
    <w:p w:rsidR="00916251" w:rsidRPr="00306F5A" w:rsidRDefault="00916251" w:rsidP="00916251">
      <w:pPr>
        <w:tabs>
          <w:tab w:val="left" w:pos="4560"/>
        </w:tabs>
        <w:spacing w:line="240" w:lineRule="auto"/>
        <w:rPr>
          <w:rFonts w:ascii="Arial" w:hAnsi="Arial" w:cs="Arial"/>
          <w:sz w:val="22"/>
          <w:szCs w:val="22"/>
        </w:rPr>
      </w:pPr>
      <w:r w:rsidRPr="00306F5A">
        <w:rPr>
          <w:rFonts w:ascii="Arial" w:hAnsi="Arial" w:cs="Arial"/>
          <w:sz w:val="22"/>
          <w:szCs w:val="22"/>
        </w:rPr>
        <w:t xml:space="preserve">             </w:t>
      </w:r>
    </w:p>
    <w:p w:rsidR="00852251" w:rsidRPr="00306F5A" w:rsidRDefault="00B64A25" w:rsidP="00852251">
      <w:pPr>
        <w:tabs>
          <w:tab w:val="left" w:pos="4560"/>
        </w:tabs>
        <w:spacing w:line="240" w:lineRule="auto"/>
        <w:rPr>
          <w:rFonts w:ascii="Arial" w:hAnsi="Arial" w:cs="Arial"/>
          <w:sz w:val="22"/>
          <w:szCs w:val="22"/>
        </w:rPr>
      </w:pPr>
      <w:r w:rsidRPr="00306F5A">
        <w:rPr>
          <w:rFonts w:ascii="Arial" w:hAnsi="Arial" w:cs="Arial"/>
          <w:sz w:val="22"/>
          <w:szCs w:val="22"/>
        </w:rPr>
        <w:t xml:space="preserve">Approved by: </w:t>
      </w:r>
      <w:r w:rsidR="001B2E14" w:rsidRPr="00306F5A">
        <w:rPr>
          <w:rFonts w:ascii="Arial" w:hAnsi="Arial" w:cs="Arial"/>
          <w:sz w:val="22"/>
          <w:szCs w:val="22"/>
        </w:rPr>
        <w:t xml:space="preserve">        Signature on file </w:t>
      </w:r>
      <w:r w:rsidR="00852251" w:rsidRPr="00306F5A">
        <w:rPr>
          <w:rFonts w:ascii="Arial" w:hAnsi="Arial" w:cs="Arial"/>
          <w:sz w:val="22"/>
          <w:szCs w:val="22"/>
        </w:rPr>
        <w:t xml:space="preserve">   </w:t>
      </w:r>
      <w:r w:rsidR="001B2E14" w:rsidRPr="00306F5A">
        <w:rPr>
          <w:rFonts w:ascii="Arial" w:hAnsi="Arial" w:cs="Arial"/>
          <w:sz w:val="22"/>
          <w:szCs w:val="22"/>
        </w:rPr>
        <w:t xml:space="preserve">           </w:t>
      </w:r>
      <w:r w:rsidR="00852251" w:rsidRPr="00306F5A">
        <w:rPr>
          <w:rFonts w:ascii="Arial" w:hAnsi="Arial" w:cs="Arial"/>
          <w:sz w:val="22"/>
          <w:szCs w:val="22"/>
        </w:rPr>
        <w:t xml:space="preserve">Date: </w:t>
      </w:r>
      <w:r w:rsidR="001B2E14" w:rsidRPr="00306F5A">
        <w:rPr>
          <w:rFonts w:ascii="Arial" w:hAnsi="Arial" w:cs="Arial"/>
          <w:sz w:val="22"/>
          <w:szCs w:val="22"/>
        </w:rPr>
        <w:t xml:space="preserve">     9/23/2019</w:t>
      </w:r>
    </w:p>
    <w:p w:rsidR="00423B56" w:rsidRPr="00306F5A" w:rsidRDefault="00916251" w:rsidP="00916251">
      <w:pPr>
        <w:spacing w:after="0" w:line="240" w:lineRule="auto"/>
        <w:jc w:val="left"/>
        <w:rPr>
          <w:rFonts w:ascii="Arial" w:hAnsi="Arial" w:cs="Arial"/>
          <w:sz w:val="22"/>
          <w:szCs w:val="22"/>
        </w:rPr>
      </w:pPr>
      <w:r w:rsidRPr="00306F5A">
        <w:rPr>
          <w:rFonts w:ascii="Arial" w:hAnsi="Arial" w:cs="Arial"/>
          <w:sz w:val="22"/>
          <w:szCs w:val="22"/>
        </w:rPr>
        <w:t xml:space="preserve">                      </w:t>
      </w:r>
      <w:r w:rsidR="000D6E0D" w:rsidRPr="00306F5A">
        <w:rPr>
          <w:rFonts w:ascii="Arial" w:hAnsi="Arial" w:cs="Arial"/>
          <w:sz w:val="22"/>
          <w:szCs w:val="22"/>
        </w:rPr>
        <w:t>Patricia</w:t>
      </w:r>
      <w:r w:rsidRPr="00306F5A">
        <w:rPr>
          <w:rFonts w:ascii="Arial" w:hAnsi="Arial" w:cs="Arial"/>
          <w:sz w:val="22"/>
          <w:szCs w:val="22"/>
        </w:rPr>
        <w:t xml:space="preserve"> Worthington, </w:t>
      </w:r>
    </w:p>
    <w:p w:rsidR="001B2E14" w:rsidRPr="00306F5A" w:rsidRDefault="001B2E14" w:rsidP="00916251">
      <w:pPr>
        <w:spacing w:after="0" w:line="240" w:lineRule="auto"/>
        <w:jc w:val="left"/>
        <w:rPr>
          <w:rFonts w:ascii="Arial" w:hAnsi="Arial" w:cs="Arial"/>
          <w:sz w:val="22"/>
          <w:szCs w:val="22"/>
        </w:rPr>
      </w:pPr>
      <w:r w:rsidRPr="00306F5A">
        <w:rPr>
          <w:rFonts w:ascii="Arial" w:hAnsi="Arial" w:cs="Arial"/>
          <w:sz w:val="22"/>
          <w:szCs w:val="22"/>
        </w:rPr>
        <w:t xml:space="preserve">                      Director</w:t>
      </w:r>
      <w:r w:rsidR="00BD38DA" w:rsidRPr="00306F5A">
        <w:rPr>
          <w:rFonts w:ascii="Arial" w:hAnsi="Arial" w:cs="Arial"/>
          <w:sz w:val="22"/>
          <w:szCs w:val="22"/>
        </w:rPr>
        <w:t xml:space="preserve">, </w:t>
      </w:r>
      <w:r w:rsidR="00C4647D" w:rsidRPr="00306F5A">
        <w:rPr>
          <w:rFonts w:ascii="Arial" w:hAnsi="Arial" w:cs="Arial"/>
          <w:sz w:val="22"/>
          <w:szCs w:val="22"/>
        </w:rPr>
        <w:t>(</w:t>
      </w:r>
      <w:r w:rsidR="00BD38DA" w:rsidRPr="00306F5A">
        <w:rPr>
          <w:rFonts w:ascii="Arial" w:hAnsi="Arial" w:cs="Arial"/>
          <w:sz w:val="22"/>
          <w:szCs w:val="22"/>
        </w:rPr>
        <w:t>AU-10</w:t>
      </w:r>
      <w:r w:rsidR="00C4647D" w:rsidRPr="00306F5A">
        <w:rPr>
          <w:rFonts w:ascii="Arial" w:hAnsi="Arial" w:cs="Arial"/>
          <w:sz w:val="22"/>
          <w:szCs w:val="22"/>
        </w:rPr>
        <w:t>)</w:t>
      </w:r>
    </w:p>
    <w:p w:rsidR="001B2E14" w:rsidRPr="00306F5A" w:rsidRDefault="001B2E14" w:rsidP="00916251">
      <w:pPr>
        <w:spacing w:after="0" w:line="240" w:lineRule="auto"/>
        <w:jc w:val="left"/>
        <w:rPr>
          <w:rFonts w:ascii="Arial" w:hAnsi="Arial" w:cs="Arial"/>
          <w:sz w:val="22"/>
          <w:szCs w:val="22"/>
        </w:rPr>
      </w:pPr>
      <w:r w:rsidRPr="00306F5A">
        <w:rPr>
          <w:rFonts w:ascii="Arial" w:hAnsi="Arial" w:cs="Arial"/>
          <w:sz w:val="22"/>
          <w:szCs w:val="22"/>
        </w:rPr>
        <w:tab/>
        <w:t xml:space="preserve">          Office </w:t>
      </w:r>
      <w:r w:rsidR="00BD38DA" w:rsidRPr="00306F5A">
        <w:rPr>
          <w:rFonts w:ascii="Arial" w:hAnsi="Arial" w:cs="Arial"/>
          <w:sz w:val="22"/>
          <w:szCs w:val="22"/>
        </w:rPr>
        <w:t xml:space="preserve">of Health and Safety </w:t>
      </w:r>
    </w:p>
    <w:p w:rsidR="005E1AA2" w:rsidRPr="00306F5A" w:rsidRDefault="001B2E14" w:rsidP="001B2E14">
      <w:pPr>
        <w:spacing w:after="0" w:line="240" w:lineRule="auto"/>
        <w:ind w:left="720"/>
        <w:jc w:val="left"/>
        <w:rPr>
          <w:rFonts w:ascii="Arial" w:hAnsi="Arial" w:cs="Arial"/>
          <w:sz w:val="22"/>
          <w:szCs w:val="22"/>
        </w:rPr>
      </w:pPr>
      <w:r w:rsidRPr="00306F5A">
        <w:rPr>
          <w:rFonts w:ascii="Arial" w:hAnsi="Arial" w:cs="Arial"/>
          <w:sz w:val="22"/>
          <w:szCs w:val="22"/>
        </w:rPr>
        <w:t xml:space="preserve">          </w:t>
      </w:r>
      <w:r w:rsidR="00916251" w:rsidRPr="00306F5A">
        <w:rPr>
          <w:rFonts w:ascii="Arial" w:hAnsi="Arial" w:cs="Arial"/>
          <w:sz w:val="22"/>
          <w:szCs w:val="22"/>
        </w:rPr>
        <w:t>Department of Energy, Safety Working Group Liaison</w:t>
      </w:r>
    </w:p>
    <w:p w:rsidR="005E1AA2" w:rsidRPr="00306F5A" w:rsidRDefault="005E1AA2" w:rsidP="00916251">
      <w:pPr>
        <w:spacing w:after="0" w:line="240" w:lineRule="auto"/>
        <w:jc w:val="left"/>
        <w:rPr>
          <w:rFonts w:ascii="Arial" w:hAnsi="Arial" w:cs="Arial"/>
        </w:rPr>
      </w:pPr>
    </w:p>
    <w:p w:rsidR="00DD5CB0" w:rsidRPr="00306F5A" w:rsidRDefault="00640532" w:rsidP="00916251">
      <w:pPr>
        <w:spacing w:after="0" w:line="240" w:lineRule="auto"/>
        <w:jc w:val="left"/>
        <w:rPr>
          <w:b/>
          <w:sz w:val="24"/>
          <w:szCs w:val="24"/>
        </w:rPr>
      </w:pPr>
      <w:r w:rsidRPr="00306F5A">
        <w:rPr>
          <w:b/>
          <w:sz w:val="24"/>
          <w:szCs w:val="24"/>
        </w:rPr>
        <w:t xml:space="preserve">EFCOG </w:t>
      </w:r>
      <w:r w:rsidR="00DD5CB0" w:rsidRPr="00306F5A">
        <w:rPr>
          <w:b/>
          <w:sz w:val="24"/>
          <w:szCs w:val="24"/>
        </w:rPr>
        <w:t xml:space="preserve">Safety </w:t>
      </w:r>
      <w:r w:rsidR="00AC3E3F" w:rsidRPr="00306F5A">
        <w:rPr>
          <w:b/>
          <w:sz w:val="24"/>
          <w:szCs w:val="24"/>
        </w:rPr>
        <w:t xml:space="preserve">Working Group </w:t>
      </w:r>
      <w:r w:rsidR="00C54835" w:rsidRPr="00306F5A">
        <w:rPr>
          <w:b/>
          <w:sz w:val="24"/>
          <w:szCs w:val="24"/>
        </w:rPr>
        <w:t xml:space="preserve">Planned Activities for FY </w:t>
      </w:r>
      <w:r w:rsidR="00DE57C0" w:rsidRPr="00306F5A">
        <w:rPr>
          <w:b/>
          <w:sz w:val="24"/>
          <w:szCs w:val="24"/>
        </w:rPr>
        <w:t>2020</w:t>
      </w:r>
      <w:r w:rsidR="00CF28F0" w:rsidRPr="00306F5A">
        <w:rPr>
          <w:b/>
          <w:sz w:val="24"/>
          <w:szCs w:val="24"/>
        </w:rPr>
        <w:t xml:space="preserve"> </w:t>
      </w:r>
    </w:p>
    <w:p w:rsidR="00AC3E3F" w:rsidRPr="00306F5A" w:rsidRDefault="00C54835" w:rsidP="00AC3E3F">
      <w:pPr>
        <w:spacing w:after="0" w:line="240" w:lineRule="auto"/>
        <w:jc w:val="left"/>
        <w:rPr>
          <w:b/>
          <w:sz w:val="24"/>
          <w:szCs w:val="24"/>
        </w:rPr>
      </w:pPr>
      <w:r w:rsidRPr="00306F5A">
        <w:rPr>
          <w:b/>
          <w:sz w:val="24"/>
          <w:szCs w:val="24"/>
        </w:rPr>
        <w:t>(October 1, 201</w:t>
      </w:r>
      <w:r w:rsidR="00DE57C0" w:rsidRPr="00306F5A">
        <w:rPr>
          <w:b/>
          <w:sz w:val="24"/>
          <w:szCs w:val="24"/>
        </w:rPr>
        <w:t>9</w:t>
      </w:r>
      <w:r w:rsidRPr="00306F5A">
        <w:rPr>
          <w:b/>
          <w:sz w:val="24"/>
          <w:szCs w:val="24"/>
        </w:rPr>
        <w:t xml:space="preserve"> – September 30, </w:t>
      </w:r>
      <w:r w:rsidR="00DE57C0" w:rsidRPr="00306F5A">
        <w:rPr>
          <w:b/>
          <w:sz w:val="24"/>
          <w:szCs w:val="24"/>
        </w:rPr>
        <w:t>2020</w:t>
      </w:r>
      <w:r w:rsidR="00CF28F0" w:rsidRPr="00306F5A">
        <w:rPr>
          <w:b/>
          <w:sz w:val="24"/>
          <w:szCs w:val="24"/>
        </w:rPr>
        <w:t>)</w:t>
      </w:r>
    </w:p>
    <w:p w:rsidR="00AC3E3F" w:rsidRPr="00306F5A" w:rsidRDefault="00AC3E3F" w:rsidP="00AC3E3F">
      <w:pPr>
        <w:rPr>
          <w:b/>
        </w:rPr>
      </w:pPr>
    </w:p>
    <w:p w:rsidR="00EC158F" w:rsidRPr="00306F5A" w:rsidRDefault="00E31389" w:rsidP="00A75D56">
      <w:pPr>
        <w:spacing w:after="0" w:line="240" w:lineRule="auto"/>
        <w:jc w:val="center"/>
        <w:rPr>
          <w:b/>
          <w:sz w:val="24"/>
          <w:szCs w:val="24"/>
        </w:rPr>
      </w:pPr>
      <w:r w:rsidRPr="00306F5A">
        <w:rPr>
          <w:b/>
          <w:sz w:val="24"/>
          <w:szCs w:val="24"/>
        </w:rPr>
        <w:t>EFCOG Working Group Planned Activities for FY 20</w:t>
      </w:r>
      <w:r w:rsidR="00DE57C0" w:rsidRPr="00306F5A">
        <w:rPr>
          <w:b/>
          <w:sz w:val="24"/>
          <w:szCs w:val="24"/>
        </w:rPr>
        <w:t>20</w:t>
      </w:r>
    </w:p>
    <w:p w:rsidR="00E31389" w:rsidRPr="00306F5A" w:rsidRDefault="00DE57C0" w:rsidP="00A75D56">
      <w:pPr>
        <w:spacing w:after="0" w:line="240" w:lineRule="auto"/>
        <w:jc w:val="center"/>
        <w:rPr>
          <w:b/>
          <w:sz w:val="24"/>
          <w:szCs w:val="24"/>
        </w:rPr>
      </w:pPr>
      <w:r w:rsidRPr="00306F5A">
        <w:rPr>
          <w:b/>
          <w:sz w:val="24"/>
          <w:szCs w:val="24"/>
        </w:rPr>
        <w:t>(October 1, 2019</w:t>
      </w:r>
      <w:r w:rsidR="00E31389" w:rsidRPr="00306F5A">
        <w:rPr>
          <w:b/>
          <w:sz w:val="24"/>
          <w:szCs w:val="24"/>
        </w:rPr>
        <w:t xml:space="preserve"> – September 30, 20</w:t>
      </w:r>
      <w:r w:rsidRPr="00306F5A">
        <w:rPr>
          <w:b/>
          <w:sz w:val="24"/>
          <w:szCs w:val="24"/>
        </w:rPr>
        <w:t>20</w:t>
      </w:r>
      <w:r w:rsidR="00E31389" w:rsidRPr="00306F5A">
        <w:rPr>
          <w:b/>
          <w:sz w:val="24"/>
          <w:szCs w:val="24"/>
        </w:rPr>
        <w:t>)</w:t>
      </w:r>
    </w:p>
    <w:p w:rsidR="00E31389" w:rsidRPr="00306F5A" w:rsidRDefault="00E31389" w:rsidP="00E31389">
      <w:pPr>
        <w:rPr>
          <w:b/>
        </w:rPr>
      </w:pPr>
    </w:p>
    <w:tbl>
      <w:tblPr>
        <w:tblStyle w:val="LightList-Accent11"/>
        <w:tblW w:w="5005" w:type="pct"/>
        <w:tblInd w:w="3" w:type="dxa"/>
        <w:tblLayout w:type="fixed"/>
        <w:tblLook w:val="04A0" w:firstRow="1" w:lastRow="0" w:firstColumn="1" w:lastColumn="0" w:noHBand="0" w:noVBand="1"/>
      </w:tblPr>
      <w:tblGrid>
        <w:gridCol w:w="3606"/>
        <w:gridCol w:w="4883"/>
        <w:gridCol w:w="4464"/>
      </w:tblGrid>
      <w:tr w:rsidR="006F43E6" w:rsidRPr="00306F5A" w:rsidTr="0052314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2" w:type="pct"/>
            <w:tcBorders>
              <w:bottom w:val="single" w:sz="8" w:space="0" w:color="4F81BD"/>
            </w:tcBorders>
            <w:vAlign w:val="center"/>
          </w:tcPr>
          <w:p w:rsidR="007104CC" w:rsidRPr="00306F5A" w:rsidRDefault="007104CC" w:rsidP="00F918B1">
            <w:pPr>
              <w:jc w:val="center"/>
              <w:rPr>
                <w:rFonts w:ascii="Arial" w:hAnsi="Arial" w:cs="Arial"/>
                <w:lang w:bidi="ar-SA"/>
              </w:rPr>
            </w:pPr>
            <w:r w:rsidRPr="00306F5A">
              <w:rPr>
                <w:rFonts w:ascii="Arial" w:hAnsi="Arial" w:cs="Arial"/>
                <w:lang w:bidi="ar-SA"/>
              </w:rPr>
              <w:t>Activity(s)</w:t>
            </w:r>
          </w:p>
        </w:tc>
        <w:tc>
          <w:tcPr>
            <w:tcW w:w="1885" w:type="pct"/>
            <w:tcBorders>
              <w:bottom w:val="single" w:sz="8" w:space="0" w:color="4F81BD"/>
            </w:tcBorders>
            <w:vAlign w:val="center"/>
          </w:tcPr>
          <w:p w:rsidR="007104CC" w:rsidRPr="00306F5A" w:rsidRDefault="007104CC" w:rsidP="00F918B1">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Benefit(s)</w:t>
            </w:r>
          </w:p>
        </w:tc>
        <w:tc>
          <w:tcPr>
            <w:tcW w:w="1724" w:type="pct"/>
            <w:tcBorders>
              <w:bottom w:val="single" w:sz="8" w:space="0" w:color="4F81BD"/>
            </w:tcBorders>
            <w:vAlign w:val="center"/>
          </w:tcPr>
          <w:p w:rsidR="007104CC" w:rsidRPr="00306F5A" w:rsidRDefault="007104CC" w:rsidP="00F918B1">
            <w:pPr>
              <w:jc w:val="center"/>
              <w:cnfStyle w:val="100000000000" w:firstRow="1"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Deliverable/Key Milestone(s)</w:t>
            </w:r>
          </w:p>
        </w:tc>
      </w:tr>
      <w:tr w:rsidR="007104CC"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DD9C3"/>
          </w:tcPr>
          <w:p w:rsidR="007104CC" w:rsidRPr="00306F5A" w:rsidRDefault="007104CC" w:rsidP="00F918B1">
            <w:pPr>
              <w:jc w:val="left"/>
              <w:rPr>
                <w:rFonts w:ascii="Arial" w:hAnsi="Arial" w:cs="Arial"/>
                <w:b w:val="0"/>
                <w:sz w:val="28"/>
                <w:lang w:bidi="ar-SA"/>
              </w:rPr>
            </w:pPr>
            <w:r w:rsidRPr="00306F5A">
              <w:rPr>
                <w:rFonts w:ascii="Arial" w:hAnsi="Arial" w:cs="Arial"/>
                <w:b w:val="0"/>
                <w:sz w:val="28"/>
                <w:lang w:bidi="ar-SA"/>
              </w:rPr>
              <w:t>1.0   Engineering Practices</w:t>
            </w:r>
          </w:p>
        </w:tc>
      </w:tr>
      <w:tr w:rsidR="006D0DEE" w:rsidRPr="00306F5A" w:rsidTr="0052314A">
        <w:tc>
          <w:tcPr>
            <w:cnfStyle w:val="001000000000" w:firstRow="0" w:lastRow="0" w:firstColumn="1" w:lastColumn="0" w:oddVBand="0" w:evenVBand="0" w:oddHBand="0" w:evenHBand="0" w:firstRowFirstColumn="0" w:firstRowLastColumn="0" w:lastRowFirstColumn="0" w:lastRowLastColumn="0"/>
            <w:tcW w:w="1392" w:type="pct"/>
            <w:tcBorders>
              <w:top w:val="single" w:sz="8" w:space="0" w:color="4F81BD"/>
              <w:bottom w:val="single" w:sz="8" w:space="0" w:color="4F81BD"/>
              <w:right w:val="single" w:sz="8" w:space="0" w:color="4F81BD"/>
            </w:tcBorders>
          </w:tcPr>
          <w:p w:rsidR="006D0DEE" w:rsidRPr="00306F5A" w:rsidRDefault="006D0DEE" w:rsidP="006D0DEE">
            <w:pPr>
              <w:jc w:val="left"/>
              <w:rPr>
                <w:rFonts w:ascii="Arial" w:hAnsi="Arial" w:cs="Arial"/>
                <w:b w:val="0"/>
                <w:lang w:bidi="ar-SA"/>
              </w:rPr>
            </w:pPr>
            <w:r w:rsidRPr="00306F5A">
              <w:rPr>
                <w:rFonts w:ascii="Arial" w:hAnsi="Arial" w:cs="Arial"/>
                <w:b w:val="0"/>
                <w:lang w:bidi="ar-SA"/>
              </w:rPr>
              <w:t xml:space="preserve">Develop Code of Record (COR) </w:t>
            </w:r>
            <w:r w:rsidR="00254AFD">
              <w:rPr>
                <w:rFonts w:ascii="Arial" w:hAnsi="Arial" w:cs="Arial"/>
                <w:b w:val="0"/>
                <w:lang w:bidi="ar-SA"/>
              </w:rPr>
              <w:t>Best Practice</w:t>
            </w:r>
          </w:p>
        </w:tc>
        <w:tc>
          <w:tcPr>
            <w:tcW w:w="1885" w:type="pct"/>
            <w:tcBorders>
              <w:top w:val="single" w:sz="8" w:space="0" w:color="4F81BD"/>
              <w:left w:val="single" w:sz="8" w:space="0" w:color="4F81BD"/>
              <w:bottom w:val="single" w:sz="8" w:space="0" w:color="4F81BD"/>
              <w:right w:val="single" w:sz="8" w:space="0" w:color="4F81BD"/>
            </w:tcBorders>
          </w:tcPr>
          <w:p w:rsidR="006D0DEE" w:rsidRPr="00306F5A" w:rsidRDefault="006D0DEE" w:rsidP="006D0DEE">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Establishes a consistent structure for projects, major modifications, and tasks for documenting and maintaining the COR.  Also provided guidance on reconstitution of the COR on older legacy facilities.</w:t>
            </w:r>
          </w:p>
        </w:tc>
        <w:tc>
          <w:tcPr>
            <w:tcW w:w="1724" w:type="pct"/>
            <w:tcBorders>
              <w:top w:val="single" w:sz="8" w:space="0" w:color="4F81BD"/>
              <w:left w:val="single" w:sz="8" w:space="0" w:color="4F81BD"/>
              <w:bottom w:val="single" w:sz="8" w:space="0" w:color="4F81BD"/>
              <w:right w:val="single" w:sz="8" w:space="0" w:color="4F81BD"/>
            </w:tcBorders>
          </w:tcPr>
          <w:p w:rsidR="006D0DEE" w:rsidRPr="00306F5A" w:rsidRDefault="006F6627" w:rsidP="006D0DEE">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Publish COR </w:t>
            </w:r>
            <w:r w:rsidR="00254AFD">
              <w:rPr>
                <w:rFonts w:ascii="Arial" w:hAnsi="Arial" w:cs="Arial"/>
                <w:lang w:bidi="ar-SA"/>
              </w:rPr>
              <w:t>Best Practice</w:t>
            </w:r>
            <w:r w:rsidRPr="00306F5A">
              <w:rPr>
                <w:rFonts w:ascii="Arial" w:hAnsi="Arial" w:cs="Arial"/>
                <w:lang w:bidi="ar-SA"/>
              </w:rPr>
              <w:t xml:space="preserve"> </w:t>
            </w:r>
          </w:p>
          <w:p w:rsidR="006D0DEE" w:rsidRPr="00306F5A" w:rsidRDefault="006D0DEE" w:rsidP="006F6627">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Work with DOE to determine if a COR Handbook will be beneficial  </w:t>
            </w:r>
          </w:p>
        </w:tc>
      </w:tr>
      <w:tr w:rsidR="006D0DEE"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6D0DEE" w:rsidRPr="00306F5A" w:rsidRDefault="006D0DEE" w:rsidP="006D0DEE">
            <w:pPr>
              <w:jc w:val="left"/>
              <w:rPr>
                <w:rFonts w:ascii="Arial" w:hAnsi="Arial" w:cs="Arial"/>
                <w:b w:val="0"/>
                <w:lang w:bidi="ar-SA"/>
              </w:rPr>
            </w:pPr>
            <w:r w:rsidRPr="00306F5A">
              <w:rPr>
                <w:rFonts w:ascii="Arial" w:hAnsi="Arial" w:cs="Arial"/>
                <w:b w:val="0"/>
                <w:lang w:bidi="ar-SA"/>
              </w:rPr>
              <w:t xml:space="preserve">Publish Conduct of Engineering (COE) Training as a </w:t>
            </w:r>
            <w:r w:rsidR="00254AFD">
              <w:rPr>
                <w:rFonts w:ascii="Arial" w:hAnsi="Arial" w:cs="Arial"/>
                <w:b w:val="0"/>
                <w:lang w:bidi="ar-SA"/>
              </w:rPr>
              <w:t>Best Practice</w:t>
            </w:r>
            <w:r w:rsidR="00850573">
              <w:rPr>
                <w:rFonts w:ascii="Arial" w:hAnsi="Arial" w:cs="Arial"/>
                <w:b w:val="0"/>
                <w:lang w:bidi="ar-SA"/>
              </w:rPr>
              <w:t>,</w:t>
            </w:r>
            <w:r w:rsidRPr="00306F5A">
              <w:rPr>
                <w:rFonts w:ascii="Arial" w:hAnsi="Arial" w:cs="Arial"/>
                <w:b w:val="0"/>
                <w:lang w:bidi="ar-SA"/>
              </w:rPr>
              <w:t xml:space="preserve"> which will include a cross-walk with DOE requirements</w:t>
            </w:r>
            <w:r w:rsidR="00AE4AF2">
              <w:rPr>
                <w:rFonts w:ascii="Arial" w:hAnsi="Arial" w:cs="Arial"/>
                <w:b w:val="0"/>
                <w:lang w:bidi="ar-SA"/>
              </w:rPr>
              <w:t xml:space="preserve"> **</w:t>
            </w:r>
          </w:p>
        </w:tc>
        <w:tc>
          <w:tcPr>
            <w:tcW w:w="1885" w:type="pct"/>
            <w:tcBorders>
              <w:left w:val="single" w:sz="8" w:space="0" w:color="4F81BD"/>
              <w:right w:val="single" w:sz="8" w:space="0" w:color="4F81BD"/>
            </w:tcBorders>
          </w:tcPr>
          <w:p w:rsidR="006D0DEE" w:rsidRPr="00306F5A" w:rsidRDefault="006D0DEE" w:rsidP="006D0DEE">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This COE training package gives sites a common starting point for development of a </w:t>
            </w:r>
            <w:r w:rsidR="00255E89" w:rsidRPr="00306F5A">
              <w:rPr>
                <w:rFonts w:ascii="Arial" w:hAnsi="Arial" w:cs="Arial"/>
                <w:lang w:bidi="ar-SA"/>
              </w:rPr>
              <w:t>site-specific</w:t>
            </w:r>
            <w:r w:rsidRPr="00306F5A">
              <w:rPr>
                <w:rFonts w:ascii="Arial" w:hAnsi="Arial" w:cs="Arial"/>
                <w:lang w:bidi="ar-SA"/>
              </w:rPr>
              <w:t xml:space="preserve"> COE training program.  The intent is for each site to take this base set of training materials and tailor to their specific organization, mission, etc. This training package will also provide </w:t>
            </w:r>
            <w:r w:rsidRPr="00306F5A">
              <w:rPr>
                <w:rFonts w:ascii="Arial" w:hAnsi="Arial" w:cs="Arial"/>
              </w:rPr>
              <w:t>a clear understanding of “why we do things the way we do” with regard to the COE base processes and the various DOE requirements.</w:t>
            </w:r>
          </w:p>
        </w:tc>
        <w:tc>
          <w:tcPr>
            <w:tcW w:w="1724" w:type="pct"/>
            <w:tcBorders>
              <w:left w:val="single" w:sz="8" w:space="0" w:color="4F81BD"/>
            </w:tcBorders>
          </w:tcPr>
          <w:p w:rsidR="006D0DEE" w:rsidRPr="00306F5A" w:rsidRDefault="006D0DEE" w:rsidP="006F66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Publish COE Training </w:t>
            </w:r>
            <w:r w:rsidR="00254AFD">
              <w:rPr>
                <w:rFonts w:ascii="Arial" w:hAnsi="Arial" w:cs="Arial"/>
                <w:lang w:bidi="ar-SA"/>
              </w:rPr>
              <w:t>Best Practice</w:t>
            </w:r>
            <w:r w:rsidRPr="00306F5A">
              <w:rPr>
                <w:rFonts w:ascii="Arial" w:hAnsi="Arial" w:cs="Arial"/>
                <w:lang w:bidi="ar-SA"/>
              </w:rPr>
              <w:t xml:space="preserve"> </w:t>
            </w:r>
            <w:r w:rsidR="006F6627" w:rsidRPr="00306F5A">
              <w:rPr>
                <w:rFonts w:ascii="Arial" w:hAnsi="Arial" w:cs="Arial"/>
                <w:lang w:bidi="ar-SA"/>
              </w:rPr>
              <w:t xml:space="preserve"> **</w:t>
            </w:r>
          </w:p>
        </w:tc>
      </w:tr>
      <w:tr w:rsidR="006D0DEE" w:rsidRPr="00306F5A" w:rsidTr="0052314A">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6D0DEE" w:rsidRPr="00306F5A" w:rsidRDefault="006D0DEE" w:rsidP="006D0DEE">
            <w:pPr>
              <w:jc w:val="left"/>
              <w:rPr>
                <w:rFonts w:ascii="Arial" w:hAnsi="Arial" w:cs="Arial"/>
                <w:b w:val="0"/>
                <w:lang w:bidi="ar-SA"/>
              </w:rPr>
            </w:pPr>
            <w:r w:rsidRPr="00306F5A">
              <w:rPr>
                <w:rFonts w:ascii="Arial" w:hAnsi="Arial" w:cs="Arial"/>
                <w:b w:val="0"/>
                <w:lang w:bidi="ar-SA"/>
              </w:rPr>
              <w:t xml:space="preserve">Develop weld symbol training </w:t>
            </w:r>
            <w:r w:rsidR="00254AFD">
              <w:rPr>
                <w:rFonts w:ascii="Arial" w:hAnsi="Arial" w:cs="Arial"/>
                <w:b w:val="0"/>
                <w:lang w:bidi="ar-SA"/>
              </w:rPr>
              <w:t>Best Practice</w:t>
            </w:r>
            <w:r w:rsidR="00AE4AF2">
              <w:rPr>
                <w:rFonts w:ascii="Arial" w:hAnsi="Arial" w:cs="Arial"/>
                <w:b w:val="0"/>
                <w:lang w:bidi="ar-SA"/>
              </w:rPr>
              <w:t xml:space="preserve"> **</w:t>
            </w:r>
          </w:p>
        </w:tc>
        <w:tc>
          <w:tcPr>
            <w:tcW w:w="1885" w:type="pct"/>
            <w:tcBorders>
              <w:left w:val="single" w:sz="8" w:space="0" w:color="4F81BD"/>
              <w:right w:val="single" w:sz="8" w:space="0" w:color="4F81BD"/>
            </w:tcBorders>
          </w:tcPr>
          <w:p w:rsidR="006D0DEE" w:rsidRPr="00306F5A" w:rsidRDefault="006D0DEE" w:rsidP="006D0DEE">
            <w:pPr>
              <w:jc w:val="left"/>
              <w:cnfStyle w:val="000000000000" w:firstRow="0" w:lastRow="0" w:firstColumn="0" w:lastColumn="0" w:oddVBand="0" w:evenVBand="0" w:oddHBand="0" w:evenHBand="0" w:firstRowFirstColumn="0" w:firstRowLastColumn="0" w:lastRowFirstColumn="0" w:lastRowLastColumn="0"/>
              <w:rPr>
                <w:rFonts w:ascii="Arial" w:hAnsi="Arial" w:cs="Arial"/>
                <w:color w:val="FF0000"/>
              </w:rPr>
            </w:pPr>
            <w:r w:rsidRPr="00306F5A">
              <w:rPr>
                <w:rFonts w:ascii="Arial" w:hAnsi="Arial" w:cs="Arial"/>
              </w:rPr>
              <w:t>Establishes a training mechanism for the application and interpretation of weld symbols for technical staff.</w:t>
            </w:r>
          </w:p>
        </w:tc>
        <w:tc>
          <w:tcPr>
            <w:tcW w:w="1724" w:type="pct"/>
            <w:tcBorders>
              <w:left w:val="single" w:sz="8" w:space="0" w:color="4F81BD"/>
            </w:tcBorders>
          </w:tcPr>
          <w:p w:rsidR="006D0DEE" w:rsidRPr="00306F5A" w:rsidRDefault="006D0DEE" w:rsidP="006D0DEE">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Publish Weld S</w:t>
            </w:r>
            <w:r w:rsidR="006F6627" w:rsidRPr="00306F5A">
              <w:rPr>
                <w:rFonts w:ascii="Arial" w:hAnsi="Arial" w:cs="Arial"/>
                <w:lang w:bidi="ar-SA"/>
              </w:rPr>
              <w:t xml:space="preserve">ymbols </w:t>
            </w:r>
            <w:r w:rsidR="00254AFD">
              <w:rPr>
                <w:rFonts w:ascii="Arial" w:hAnsi="Arial" w:cs="Arial"/>
                <w:lang w:bidi="ar-SA"/>
              </w:rPr>
              <w:t>Best Practice</w:t>
            </w:r>
            <w:r w:rsidR="006F6627" w:rsidRPr="00306F5A">
              <w:rPr>
                <w:rFonts w:ascii="Arial" w:hAnsi="Arial" w:cs="Arial"/>
                <w:lang w:bidi="ar-SA"/>
              </w:rPr>
              <w:t xml:space="preserve">  **</w:t>
            </w:r>
          </w:p>
        </w:tc>
      </w:tr>
      <w:tr w:rsidR="006D0DEE"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6D0DEE" w:rsidRPr="00306F5A" w:rsidRDefault="006D0DEE" w:rsidP="0033476C">
            <w:pPr>
              <w:jc w:val="left"/>
              <w:rPr>
                <w:rFonts w:ascii="Arial" w:hAnsi="Arial" w:cs="Arial"/>
                <w:b w:val="0"/>
                <w:lang w:bidi="ar-SA"/>
              </w:rPr>
            </w:pPr>
            <w:r w:rsidRPr="00306F5A">
              <w:rPr>
                <w:rFonts w:ascii="Arial" w:hAnsi="Arial" w:cs="Arial"/>
                <w:b w:val="0"/>
                <w:lang w:bidi="ar-SA"/>
              </w:rPr>
              <w:t xml:space="preserve">Develop automatic welding operator qualifications prerequisite </w:t>
            </w:r>
            <w:r w:rsidR="00254AFD">
              <w:rPr>
                <w:rFonts w:ascii="Arial" w:hAnsi="Arial" w:cs="Arial"/>
                <w:b w:val="0"/>
                <w:lang w:bidi="ar-SA"/>
              </w:rPr>
              <w:t>Best Practice</w:t>
            </w:r>
            <w:r w:rsidR="00AE4AF2">
              <w:rPr>
                <w:rFonts w:ascii="Arial" w:hAnsi="Arial" w:cs="Arial"/>
                <w:b w:val="0"/>
                <w:lang w:bidi="ar-SA"/>
              </w:rPr>
              <w:t xml:space="preserve"> **</w:t>
            </w:r>
          </w:p>
        </w:tc>
        <w:tc>
          <w:tcPr>
            <w:tcW w:w="1885" w:type="pct"/>
            <w:tcBorders>
              <w:left w:val="single" w:sz="8" w:space="0" w:color="4F81BD"/>
              <w:right w:val="single" w:sz="8" w:space="0" w:color="4F81BD"/>
            </w:tcBorders>
          </w:tcPr>
          <w:p w:rsidR="006D0DEE" w:rsidRPr="00306F5A" w:rsidRDefault="006D0DEE"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The various welding codes lack clear definition of the prerequisites to qualifying for automatic welding operations.  As more and more of these techniques are used around the complex, this will provide a consistent set of minimum welder prerequisite requirements.</w:t>
            </w:r>
          </w:p>
        </w:tc>
        <w:tc>
          <w:tcPr>
            <w:tcW w:w="1724" w:type="pct"/>
            <w:tcBorders>
              <w:left w:val="single" w:sz="8" w:space="0" w:color="4F81BD"/>
            </w:tcBorders>
          </w:tcPr>
          <w:p w:rsidR="006D0DEE" w:rsidRPr="00306F5A" w:rsidRDefault="006D0DEE" w:rsidP="0033476C">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Publish Automatic Welding Operator Qualifications Pre</w:t>
            </w:r>
            <w:r w:rsidR="0033476C">
              <w:rPr>
                <w:rFonts w:ascii="Arial" w:hAnsi="Arial" w:cs="Arial"/>
                <w:lang w:bidi="ar-SA"/>
              </w:rPr>
              <w:t>r</w:t>
            </w:r>
            <w:r w:rsidRPr="00306F5A">
              <w:rPr>
                <w:rFonts w:ascii="Arial" w:hAnsi="Arial" w:cs="Arial"/>
                <w:lang w:bidi="ar-SA"/>
              </w:rPr>
              <w:t xml:space="preserve">equisites </w:t>
            </w:r>
            <w:r w:rsidR="006F6627" w:rsidRPr="00306F5A">
              <w:rPr>
                <w:rFonts w:ascii="Arial" w:hAnsi="Arial" w:cs="Arial"/>
                <w:lang w:bidi="ar-SA"/>
              </w:rPr>
              <w:t>**</w:t>
            </w:r>
          </w:p>
        </w:tc>
      </w:tr>
      <w:tr w:rsidR="00255E89" w:rsidRPr="00306F5A" w:rsidTr="0052314A">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AEEF3" w:themeFill="accent5" w:themeFillTint="33"/>
          </w:tcPr>
          <w:p w:rsidR="00255E89" w:rsidRPr="00306F5A" w:rsidRDefault="00255E89" w:rsidP="00255E89">
            <w:pPr>
              <w:jc w:val="left"/>
              <w:rPr>
                <w:rFonts w:ascii="Arial" w:hAnsi="Arial" w:cs="Arial"/>
                <w:b w:val="0"/>
                <w:sz w:val="28"/>
                <w:lang w:bidi="ar-SA"/>
              </w:rPr>
            </w:pPr>
            <w:r w:rsidRPr="00306F5A">
              <w:rPr>
                <w:rFonts w:ascii="Arial" w:hAnsi="Arial" w:cs="Arial"/>
                <w:b w:val="0"/>
                <w:lang w:bidi="ar-SA"/>
              </w:rPr>
              <w:t>Fire Security Task Team</w:t>
            </w:r>
          </w:p>
        </w:tc>
      </w:tr>
      <w:tr w:rsidR="00255E89"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Develop Combustible Loading </w:t>
            </w:r>
            <w:r w:rsidR="00254AFD">
              <w:rPr>
                <w:rFonts w:ascii="Arial" w:hAnsi="Arial" w:cs="Arial"/>
                <w:b w:val="0"/>
                <w:lang w:bidi="ar-SA"/>
              </w:rPr>
              <w:t>White Paper</w:t>
            </w:r>
          </w:p>
        </w:tc>
        <w:tc>
          <w:tcPr>
            <w:tcW w:w="1885"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Combustible loading programs vary significantly across the complex.  This </w:t>
            </w:r>
            <w:r w:rsidR="00254AFD">
              <w:rPr>
                <w:rFonts w:ascii="Arial" w:hAnsi="Arial" w:cs="Arial"/>
                <w:lang w:bidi="ar-SA"/>
              </w:rPr>
              <w:t>White Paper</w:t>
            </w:r>
            <w:r w:rsidRPr="00306F5A">
              <w:rPr>
                <w:rFonts w:ascii="Arial" w:hAnsi="Arial" w:cs="Arial"/>
                <w:lang w:bidi="ar-SA"/>
              </w:rPr>
              <w:t xml:space="preserve"> will help identify base program requirements and implementation with the intent of becoming a </w:t>
            </w:r>
            <w:r w:rsidR="00254AFD">
              <w:rPr>
                <w:rFonts w:ascii="Arial" w:hAnsi="Arial" w:cs="Arial"/>
                <w:lang w:bidi="ar-SA"/>
              </w:rPr>
              <w:t>Best Practice</w:t>
            </w:r>
          </w:p>
        </w:tc>
        <w:tc>
          <w:tcPr>
            <w:tcW w:w="1724" w:type="pct"/>
            <w:tcBorders>
              <w:left w:val="single" w:sz="8" w:space="0" w:color="4F81BD"/>
            </w:tcBorders>
          </w:tcPr>
          <w:p w:rsidR="00255E89" w:rsidRPr="00306F5A" w:rsidRDefault="00255E89" w:rsidP="006F6627">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Publish C</w:t>
            </w:r>
            <w:r w:rsidR="006F6627" w:rsidRPr="00306F5A">
              <w:rPr>
                <w:rFonts w:ascii="Arial" w:hAnsi="Arial" w:cs="Arial"/>
                <w:lang w:bidi="ar-SA"/>
              </w:rPr>
              <w:t xml:space="preserve">ombustible Loading </w:t>
            </w:r>
            <w:r w:rsidR="00254AFD">
              <w:rPr>
                <w:rFonts w:ascii="Arial" w:hAnsi="Arial" w:cs="Arial"/>
                <w:lang w:bidi="ar-SA"/>
              </w:rPr>
              <w:t>White Paper</w:t>
            </w:r>
            <w:r w:rsidR="006F6627" w:rsidRPr="00306F5A">
              <w:rPr>
                <w:rFonts w:ascii="Arial" w:hAnsi="Arial" w:cs="Arial"/>
                <w:lang w:bidi="ar-SA"/>
              </w:rPr>
              <w:t xml:space="preserve"> </w:t>
            </w:r>
          </w:p>
        </w:tc>
      </w:tr>
      <w:tr w:rsidR="00255E89" w:rsidRPr="00306F5A" w:rsidTr="0052314A">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Publish NFPA Code Review </w:t>
            </w:r>
            <w:r w:rsidR="00254AFD">
              <w:rPr>
                <w:rFonts w:ascii="Arial" w:hAnsi="Arial" w:cs="Arial"/>
                <w:b w:val="0"/>
                <w:lang w:bidi="ar-SA"/>
              </w:rPr>
              <w:t>White Paper</w:t>
            </w:r>
            <w:r w:rsidRPr="00306F5A">
              <w:rPr>
                <w:rFonts w:ascii="Arial" w:hAnsi="Arial" w:cs="Arial"/>
                <w:b w:val="0"/>
                <w:lang w:bidi="ar-SA"/>
              </w:rPr>
              <w:t>s</w:t>
            </w:r>
          </w:p>
        </w:tc>
        <w:tc>
          <w:tcPr>
            <w:tcW w:w="1885" w:type="pct"/>
            <w:tcBorders>
              <w:left w:val="single" w:sz="8" w:space="0" w:color="4F81BD"/>
              <w:right w:val="single" w:sz="8" w:space="0" w:color="4F81BD"/>
            </w:tcBorders>
          </w:tcPr>
          <w:p w:rsidR="00255E89" w:rsidRPr="00306F5A" w:rsidRDefault="00255E89" w:rsidP="003237D5">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With many NFPA codes published every year, the Task Team will assign these codes to the various team members </w:t>
            </w:r>
            <w:r w:rsidR="006F6627" w:rsidRPr="00306F5A">
              <w:rPr>
                <w:rFonts w:ascii="Arial" w:hAnsi="Arial" w:cs="Arial"/>
                <w:lang w:bidi="ar-SA"/>
              </w:rPr>
              <w:t xml:space="preserve">to </w:t>
            </w:r>
            <w:r w:rsidRPr="00306F5A">
              <w:rPr>
                <w:rFonts w:ascii="Arial" w:hAnsi="Arial" w:cs="Arial"/>
                <w:lang w:bidi="ar-SA"/>
              </w:rPr>
              <w:t>review</w:t>
            </w:r>
            <w:r w:rsidR="006F6627" w:rsidRPr="00306F5A">
              <w:rPr>
                <w:rFonts w:ascii="Arial" w:hAnsi="Arial" w:cs="Arial"/>
                <w:lang w:bidi="ar-SA"/>
              </w:rPr>
              <w:t xml:space="preserve"> and </w:t>
            </w:r>
            <w:r w:rsidRPr="00306F5A">
              <w:rPr>
                <w:rFonts w:ascii="Arial" w:hAnsi="Arial" w:cs="Arial"/>
                <w:lang w:bidi="ar-SA"/>
              </w:rPr>
              <w:t xml:space="preserve">publish. </w:t>
            </w:r>
            <w:r w:rsidR="00254AFD">
              <w:rPr>
                <w:rFonts w:ascii="Arial" w:hAnsi="Arial" w:cs="Arial"/>
                <w:lang w:bidi="ar-SA"/>
              </w:rPr>
              <w:t>White Paper</w:t>
            </w:r>
            <w:r w:rsidRPr="00306F5A">
              <w:rPr>
                <w:rFonts w:ascii="Arial" w:hAnsi="Arial" w:cs="Arial"/>
                <w:lang w:bidi="ar-SA"/>
              </w:rPr>
              <w:t>s describing the changes to the codes and likely impacts to the sites eliminate the need for each site to perform this activity on its own.</w:t>
            </w:r>
          </w:p>
        </w:tc>
        <w:tc>
          <w:tcPr>
            <w:tcW w:w="1724" w:type="pct"/>
            <w:tcBorders>
              <w:left w:val="single" w:sz="8" w:space="0" w:color="4F81BD"/>
            </w:tcBorders>
          </w:tcPr>
          <w:p w:rsidR="00255E89" w:rsidRPr="00306F5A" w:rsidRDefault="00255E89" w:rsidP="00255E89">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Establish an NFPA code review master schedule for FY20 </w:t>
            </w:r>
          </w:p>
          <w:p w:rsidR="00255E89" w:rsidRPr="00306F5A" w:rsidRDefault="00255E89" w:rsidP="006F6627">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Publish NFPA code review </w:t>
            </w:r>
            <w:r w:rsidR="00254AFD">
              <w:rPr>
                <w:rFonts w:ascii="Arial" w:hAnsi="Arial" w:cs="Arial"/>
                <w:lang w:bidi="ar-SA"/>
              </w:rPr>
              <w:t>White Paper</w:t>
            </w:r>
            <w:r w:rsidRPr="00306F5A">
              <w:rPr>
                <w:rFonts w:ascii="Arial" w:hAnsi="Arial" w:cs="Arial"/>
                <w:lang w:bidi="ar-SA"/>
              </w:rPr>
              <w:t>s per the NPFA code review master schedule</w:t>
            </w:r>
          </w:p>
        </w:tc>
      </w:tr>
      <w:tr w:rsidR="00255E89"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DD9C3"/>
          </w:tcPr>
          <w:p w:rsidR="00255E89" w:rsidRPr="00306F5A" w:rsidRDefault="00255E89" w:rsidP="00255E89">
            <w:pPr>
              <w:jc w:val="left"/>
              <w:rPr>
                <w:rFonts w:ascii="Arial" w:hAnsi="Arial" w:cs="Arial"/>
                <w:b w:val="0"/>
                <w:sz w:val="28"/>
                <w:lang w:bidi="ar-SA"/>
              </w:rPr>
            </w:pPr>
            <w:r w:rsidRPr="00306F5A">
              <w:rPr>
                <w:rFonts w:ascii="Arial" w:hAnsi="Arial" w:cs="Arial"/>
                <w:b w:val="0"/>
                <w:sz w:val="28"/>
                <w:lang w:bidi="ar-SA"/>
              </w:rPr>
              <w:t>2.0  Integrated Safety Management</w:t>
            </w:r>
          </w:p>
        </w:tc>
      </w:tr>
      <w:tr w:rsidR="00255E89" w:rsidRPr="00306F5A" w:rsidTr="0052314A">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AEEF3" w:themeFill="accent5" w:themeFillTint="33"/>
          </w:tcPr>
          <w:p w:rsidR="00255E89" w:rsidRPr="00306F5A" w:rsidRDefault="00255E89" w:rsidP="00255E89">
            <w:pPr>
              <w:jc w:val="left"/>
              <w:rPr>
                <w:rFonts w:ascii="Arial" w:hAnsi="Arial" w:cs="Arial"/>
                <w:b w:val="0"/>
                <w:sz w:val="28"/>
                <w:lang w:bidi="ar-SA"/>
              </w:rPr>
            </w:pPr>
            <w:r w:rsidRPr="00306F5A">
              <w:rPr>
                <w:rFonts w:ascii="Arial" w:hAnsi="Arial" w:cs="Arial"/>
                <w:lang w:bidi="ar-SA"/>
              </w:rPr>
              <w:t>Contractor Assurance</w:t>
            </w:r>
          </w:p>
        </w:tc>
      </w:tr>
      <w:tr w:rsidR="00255E89"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255E89" w:rsidRPr="00306F5A" w:rsidRDefault="00255E89" w:rsidP="00255E89">
            <w:pPr>
              <w:jc w:val="left"/>
              <w:rPr>
                <w:rFonts w:ascii="Arial" w:hAnsi="Arial" w:cs="Arial"/>
                <w:b w:val="0"/>
                <w:bCs w:val="0"/>
                <w:lang w:bidi="ar-SA"/>
              </w:rPr>
            </w:pPr>
            <w:r w:rsidRPr="00306F5A">
              <w:rPr>
                <w:rFonts w:ascii="Arial" w:hAnsi="Arial" w:cs="Arial"/>
                <w:b w:val="0"/>
                <w:bCs w:val="0"/>
                <w:lang w:bidi="ar-SA"/>
              </w:rPr>
              <w:t>Incorporating governance (Parent Company/DOE Peer Review), business, NNSA review process, and lessons learned in to the assessment plan/tool</w:t>
            </w:r>
          </w:p>
        </w:tc>
        <w:tc>
          <w:tcPr>
            <w:tcW w:w="1885"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Provides a plan that encompasses all of the types of CAS reviews currently being utilizing across the DOE/NNSA complex.</w:t>
            </w:r>
          </w:p>
        </w:tc>
        <w:tc>
          <w:tcPr>
            <w:tcW w:w="1724" w:type="pct"/>
            <w:tcBorders>
              <w:lef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Review the CAS</w:t>
            </w:r>
            <w:r w:rsidR="006F6627" w:rsidRPr="00306F5A">
              <w:rPr>
                <w:rFonts w:ascii="Arial" w:hAnsi="Arial" w:cs="Arial"/>
                <w:lang w:bidi="ar-SA"/>
              </w:rPr>
              <w:t xml:space="preserve"> assessment plan/guide.</w:t>
            </w:r>
          </w:p>
        </w:tc>
      </w:tr>
      <w:tr w:rsidR="00255E89" w:rsidRPr="00306F5A" w:rsidTr="0052314A">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255E89" w:rsidRPr="00306F5A" w:rsidRDefault="00255E89" w:rsidP="00255E89">
            <w:pPr>
              <w:jc w:val="left"/>
              <w:rPr>
                <w:rFonts w:ascii="Arial" w:hAnsi="Arial" w:cs="Arial"/>
                <w:b w:val="0"/>
                <w:bCs w:val="0"/>
                <w:lang w:bidi="ar-SA"/>
              </w:rPr>
            </w:pPr>
            <w:r w:rsidRPr="00306F5A">
              <w:rPr>
                <w:rFonts w:ascii="Arial" w:hAnsi="Arial" w:cs="Arial"/>
                <w:b w:val="0"/>
                <w:bCs w:val="0"/>
                <w:lang w:bidi="ar-SA"/>
              </w:rPr>
              <w:t>Evaluate methods for making decisions based on risk and how the CAS is providing the framework.</w:t>
            </w:r>
          </w:p>
        </w:tc>
        <w:tc>
          <w:tcPr>
            <w:tcW w:w="1885"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Provide a robust tool for assessing CAS processes</w:t>
            </w:r>
          </w:p>
        </w:tc>
        <w:tc>
          <w:tcPr>
            <w:tcW w:w="1724" w:type="pct"/>
            <w:tcBorders>
              <w:left w:val="single" w:sz="8" w:space="0" w:color="4F81BD"/>
            </w:tcBorders>
          </w:tcPr>
          <w:p w:rsidR="00255E89" w:rsidRPr="00306F5A" w:rsidRDefault="00255E89" w:rsidP="006F6627">
            <w:pPr>
              <w:keepNext/>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Issue </w:t>
            </w:r>
            <w:r w:rsidR="00254AFD">
              <w:rPr>
                <w:rFonts w:ascii="Arial" w:hAnsi="Arial" w:cs="Arial"/>
                <w:lang w:bidi="ar-SA"/>
              </w:rPr>
              <w:t>Best Practice</w:t>
            </w:r>
            <w:r w:rsidRPr="00306F5A">
              <w:rPr>
                <w:rFonts w:ascii="Arial" w:hAnsi="Arial" w:cs="Arial"/>
                <w:lang w:bidi="ar-SA"/>
              </w:rPr>
              <w:t xml:space="preserve"> </w:t>
            </w:r>
          </w:p>
        </w:tc>
      </w:tr>
      <w:tr w:rsidR="00255E89"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255E89" w:rsidRPr="00306F5A" w:rsidRDefault="00255E89" w:rsidP="00255E89">
            <w:pPr>
              <w:jc w:val="left"/>
              <w:rPr>
                <w:rFonts w:ascii="Arial" w:hAnsi="Arial" w:cs="Arial"/>
                <w:b w:val="0"/>
                <w:bCs w:val="0"/>
                <w:lang w:bidi="ar-SA"/>
              </w:rPr>
            </w:pPr>
            <w:r w:rsidRPr="00306F5A">
              <w:rPr>
                <w:rFonts w:ascii="Arial" w:hAnsi="Arial" w:cs="Arial"/>
                <w:b w:val="0"/>
                <w:bCs w:val="0"/>
                <w:lang w:bidi="ar-SA"/>
              </w:rPr>
              <w:t>Incorporate Issue Investigations tools in assessments</w:t>
            </w:r>
          </w:p>
        </w:tc>
        <w:tc>
          <w:tcPr>
            <w:tcW w:w="1885"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Provide a robust tool for assessing CAS processes</w:t>
            </w:r>
          </w:p>
        </w:tc>
        <w:tc>
          <w:tcPr>
            <w:tcW w:w="1724" w:type="pct"/>
            <w:tcBorders>
              <w:left w:val="single" w:sz="8" w:space="0" w:color="4F81BD"/>
            </w:tcBorders>
          </w:tcPr>
          <w:p w:rsidR="00255E89" w:rsidRPr="00306F5A" w:rsidRDefault="00255E89" w:rsidP="006F6627">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Add to assessment paper </w:t>
            </w:r>
          </w:p>
        </w:tc>
      </w:tr>
      <w:tr w:rsidR="00745264" w:rsidRPr="00306F5A" w:rsidTr="0052314A">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745264" w:rsidRPr="00306F5A" w:rsidRDefault="00745264" w:rsidP="003237D5">
            <w:pPr>
              <w:pStyle w:val="PlainText"/>
              <w:rPr>
                <w:rFonts w:ascii="Arial" w:hAnsi="Arial" w:cs="Arial"/>
                <w:b w:val="0"/>
                <w:bCs w:val="0"/>
                <w:sz w:val="20"/>
                <w:szCs w:val="20"/>
              </w:rPr>
            </w:pPr>
            <w:r w:rsidRPr="00306F5A">
              <w:rPr>
                <w:rFonts w:ascii="Arial" w:hAnsi="Arial" w:cs="Arial"/>
                <w:b w:val="0"/>
                <w:sz w:val="20"/>
                <w:szCs w:val="20"/>
              </w:rPr>
              <w:t>Evaluate concerns on</w:t>
            </w:r>
            <w:r w:rsidR="006B1FAF" w:rsidRPr="00306F5A">
              <w:rPr>
                <w:rFonts w:ascii="Arial" w:hAnsi="Arial" w:cs="Arial"/>
                <w:b w:val="0"/>
                <w:sz w:val="20"/>
                <w:szCs w:val="20"/>
              </w:rPr>
              <w:t xml:space="preserve"> recent </w:t>
            </w:r>
            <w:r w:rsidRPr="00306F5A">
              <w:rPr>
                <w:rFonts w:ascii="Arial" w:hAnsi="Arial" w:cs="Arial"/>
                <w:b w:val="0"/>
                <w:sz w:val="20"/>
                <w:szCs w:val="20"/>
              </w:rPr>
              <w:t xml:space="preserve">data quality and shipment issues and identify a </w:t>
            </w:r>
            <w:r w:rsidR="00254AFD">
              <w:rPr>
                <w:rFonts w:ascii="Arial" w:hAnsi="Arial" w:cs="Arial"/>
                <w:b w:val="0"/>
                <w:sz w:val="20"/>
                <w:szCs w:val="20"/>
              </w:rPr>
              <w:t>Best Practice</w:t>
            </w:r>
            <w:r w:rsidR="00E65FCC" w:rsidRPr="00306F5A">
              <w:rPr>
                <w:rFonts w:ascii="Arial" w:hAnsi="Arial" w:cs="Arial"/>
                <w:b w:val="0"/>
                <w:sz w:val="20"/>
                <w:szCs w:val="20"/>
              </w:rPr>
              <w:t xml:space="preserve"> </w:t>
            </w:r>
            <w:r w:rsidR="00AE4AF2">
              <w:rPr>
                <w:rFonts w:ascii="Arial" w:hAnsi="Arial" w:cs="Arial"/>
                <w:b w:val="0"/>
                <w:sz w:val="20"/>
                <w:szCs w:val="20"/>
              </w:rPr>
              <w:t>that</w:t>
            </w:r>
            <w:r w:rsidRPr="00306F5A">
              <w:rPr>
                <w:rFonts w:ascii="Arial" w:hAnsi="Arial" w:cs="Arial"/>
                <w:b w:val="0"/>
                <w:sz w:val="20"/>
                <w:szCs w:val="20"/>
              </w:rPr>
              <w:t xml:space="preserve"> has a high probability of identifying and correcting potentially consequential data quality issues. </w:t>
            </w:r>
            <w:r w:rsidR="00EA57C8" w:rsidRPr="00306F5A">
              <w:rPr>
                <w:rFonts w:ascii="Arial" w:hAnsi="Arial" w:cs="Arial"/>
                <w:b w:val="0"/>
                <w:sz w:val="20"/>
                <w:szCs w:val="20"/>
              </w:rPr>
              <w:t>***</w:t>
            </w:r>
          </w:p>
        </w:tc>
        <w:tc>
          <w:tcPr>
            <w:tcW w:w="1885" w:type="pct"/>
            <w:tcBorders>
              <w:left w:val="single" w:sz="8" w:space="0" w:color="4F81BD"/>
              <w:right w:val="single" w:sz="8" w:space="0" w:color="4F81BD"/>
            </w:tcBorders>
          </w:tcPr>
          <w:p w:rsidR="00745264" w:rsidRPr="00306F5A" w:rsidRDefault="006B1FAF" w:rsidP="00745264">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rPr>
              <w:t xml:space="preserve">The </w:t>
            </w:r>
            <w:r w:rsidR="00254AFD">
              <w:rPr>
                <w:rFonts w:ascii="Arial" w:hAnsi="Arial" w:cs="Arial"/>
              </w:rPr>
              <w:t>Best Practice</w:t>
            </w:r>
            <w:r w:rsidRPr="00306F5A">
              <w:rPr>
                <w:rFonts w:ascii="Arial" w:hAnsi="Arial" w:cs="Arial"/>
              </w:rPr>
              <w:t xml:space="preserve"> can </w:t>
            </w:r>
            <w:r w:rsidR="00745264" w:rsidRPr="00306F5A">
              <w:rPr>
                <w:rFonts w:ascii="Arial" w:hAnsi="Arial" w:cs="Arial"/>
              </w:rPr>
              <w:t>increase the probability that these types of issues are identified and addressed before a consequential event occurs.</w:t>
            </w:r>
          </w:p>
        </w:tc>
        <w:tc>
          <w:tcPr>
            <w:tcW w:w="1724" w:type="pct"/>
            <w:tcBorders>
              <w:left w:val="single" w:sz="8" w:space="0" w:color="4F81BD"/>
            </w:tcBorders>
          </w:tcPr>
          <w:p w:rsidR="00745264" w:rsidRPr="00306F5A" w:rsidRDefault="00745264" w:rsidP="003237D5">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rPr>
              <w:t xml:space="preserve">Issue a </w:t>
            </w:r>
            <w:r w:rsidR="00254AFD">
              <w:rPr>
                <w:rFonts w:ascii="Arial" w:hAnsi="Arial" w:cs="Arial"/>
              </w:rPr>
              <w:t>Best Practice</w:t>
            </w:r>
            <w:r w:rsidR="00AE4AF2">
              <w:rPr>
                <w:rFonts w:ascii="Arial" w:hAnsi="Arial" w:cs="Arial"/>
              </w:rPr>
              <w:t xml:space="preserve"> that</w:t>
            </w:r>
            <w:r w:rsidRPr="00306F5A">
              <w:rPr>
                <w:rFonts w:ascii="Arial" w:hAnsi="Arial" w:cs="Arial"/>
              </w:rPr>
              <w:t xml:space="preserve"> has a high probability of identifying and correcting potentially consequential data quality issues</w:t>
            </w:r>
            <w:r w:rsidR="006B1FAF" w:rsidRPr="00306F5A">
              <w:rPr>
                <w:rFonts w:ascii="Arial" w:hAnsi="Arial" w:cs="Arial"/>
              </w:rPr>
              <w:t xml:space="preserve"> before an event occurs</w:t>
            </w:r>
            <w:r w:rsidRPr="00306F5A">
              <w:rPr>
                <w:rFonts w:ascii="Arial" w:hAnsi="Arial" w:cs="Arial"/>
              </w:rPr>
              <w:t>. </w:t>
            </w:r>
            <w:r w:rsidR="00EA57C8" w:rsidRPr="00306F5A">
              <w:rPr>
                <w:rFonts w:ascii="Arial" w:hAnsi="Arial" w:cs="Arial"/>
              </w:rPr>
              <w:t>***</w:t>
            </w:r>
          </w:p>
        </w:tc>
      </w:tr>
      <w:tr w:rsidR="00255E89"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DAEEF3" w:themeFill="accent5" w:themeFillTint="33"/>
          </w:tcPr>
          <w:p w:rsidR="00255E89" w:rsidRPr="00306F5A" w:rsidRDefault="00255E89" w:rsidP="00255E89">
            <w:pPr>
              <w:jc w:val="left"/>
              <w:rPr>
                <w:rFonts w:ascii="Arial" w:hAnsi="Arial" w:cs="Arial"/>
                <w:b w:val="0"/>
                <w:sz w:val="28"/>
                <w:lang w:bidi="ar-SA"/>
              </w:rPr>
            </w:pPr>
            <w:r w:rsidRPr="00306F5A">
              <w:rPr>
                <w:rFonts w:ascii="Arial" w:hAnsi="Arial" w:cs="Arial"/>
                <w:lang w:bidi="ar-SA"/>
              </w:rPr>
              <w:t>Human Performance</w:t>
            </w:r>
          </w:p>
        </w:tc>
      </w:tr>
      <w:tr w:rsidR="00255E89" w:rsidRPr="00306F5A" w:rsidTr="0052314A">
        <w:trPr>
          <w:trHeight w:val="1024"/>
        </w:trPr>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255E89" w:rsidRPr="00306F5A" w:rsidRDefault="00255E89" w:rsidP="00255E89">
            <w:pPr>
              <w:jc w:val="left"/>
              <w:rPr>
                <w:rFonts w:ascii="Arial" w:hAnsi="Arial" w:cs="Arial"/>
                <w:b w:val="0"/>
                <w:bCs w:val="0"/>
                <w:lang w:bidi="ar-SA"/>
              </w:rPr>
            </w:pPr>
            <w:r w:rsidRPr="00306F5A">
              <w:rPr>
                <w:rFonts w:ascii="Arial" w:hAnsi="Arial" w:cs="Arial"/>
                <w:b w:val="0"/>
                <w:bCs w:val="0"/>
                <w:lang w:bidi="ar-SA"/>
              </w:rPr>
              <w:t xml:space="preserve">Participate in HPI Lead Practitioner Training Pilot </w:t>
            </w:r>
            <w:r w:rsidR="00AE4AF2">
              <w:rPr>
                <w:rFonts w:ascii="Arial" w:hAnsi="Arial" w:cs="Arial"/>
                <w:b w:val="0"/>
                <w:bCs w:val="0"/>
                <w:lang w:bidi="ar-SA"/>
              </w:rPr>
              <w:t>**</w:t>
            </w:r>
          </w:p>
        </w:tc>
        <w:tc>
          <w:tcPr>
            <w:tcW w:w="1885"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 xml:space="preserve">Provides SME’s for HPI training across the DOE Complex. This effort will provide consistent training for practitioners and eliminate the need for each Site/Laboratory to develop this training. </w:t>
            </w:r>
          </w:p>
        </w:tc>
        <w:tc>
          <w:tcPr>
            <w:tcW w:w="1724" w:type="pct"/>
            <w:tcBorders>
              <w:lef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Participate in the pilot HPI Lead Practitioner Training in October 8-10, 2019 at NNSS</w:t>
            </w:r>
            <w:r w:rsidR="006F6627" w:rsidRPr="00306F5A">
              <w:rPr>
                <w:rFonts w:ascii="Arial" w:hAnsi="Arial" w:cs="Arial"/>
                <w:lang w:bidi="ar-SA"/>
              </w:rPr>
              <w:t xml:space="preserve"> **</w:t>
            </w:r>
          </w:p>
        </w:tc>
      </w:tr>
      <w:tr w:rsidR="00255E89"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255E89" w:rsidRPr="00306F5A" w:rsidRDefault="00255E89" w:rsidP="00255E89">
            <w:pPr>
              <w:jc w:val="left"/>
              <w:rPr>
                <w:rFonts w:ascii="Arial" w:hAnsi="Arial" w:cs="Arial"/>
                <w:b w:val="0"/>
                <w:bCs w:val="0"/>
                <w:lang w:bidi="ar-SA"/>
              </w:rPr>
            </w:pPr>
            <w:r w:rsidRPr="00306F5A">
              <w:rPr>
                <w:rFonts w:ascii="Arial" w:hAnsi="Arial" w:cs="Arial"/>
                <w:b w:val="0"/>
                <w:bCs w:val="0"/>
                <w:lang w:bidi="ar-SA"/>
              </w:rPr>
              <w:t xml:space="preserve">Publish guidelines for HPI Metrics </w:t>
            </w:r>
          </w:p>
          <w:p w:rsidR="00255E89" w:rsidRPr="00306F5A" w:rsidRDefault="00255E89" w:rsidP="00255E89">
            <w:pPr>
              <w:jc w:val="left"/>
              <w:rPr>
                <w:rFonts w:ascii="Arial" w:hAnsi="Arial" w:cs="Arial"/>
                <w:b w:val="0"/>
              </w:rPr>
            </w:pPr>
          </w:p>
        </w:tc>
        <w:tc>
          <w:tcPr>
            <w:tcW w:w="1885" w:type="pct"/>
            <w:tcBorders>
              <w:left w:val="single" w:sz="8" w:space="0" w:color="4F81BD"/>
              <w:right w:val="single" w:sz="8" w:space="0" w:color="4F81BD"/>
            </w:tcBorders>
          </w:tcPr>
          <w:p w:rsidR="00255E89" w:rsidRPr="00306F5A" w:rsidRDefault="00255E89" w:rsidP="00255E89">
            <w:pPr>
              <w:keepNext/>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Provide a set of consistent HPI metrics for a Facility/Laboratory.</w:t>
            </w:r>
          </w:p>
        </w:tc>
        <w:tc>
          <w:tcPr>
            <w:tcW w:w="1724" w:type="pct"/>
            <w:tcBorders>
              <w:left w:val="single" w:sz="8" w:space="0" w:color="4F81BD"/>
            </w:tcBorders>
          </w:tcPr>
          <w:p w:rsidR="00255E89" w:rsidRPr="00306F5A" w:rsidRDefault="00255E89" w:rsidP="00255E89">
            <w:pPr>
              <w:keepNext/>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 xml:space="preserve">Publish the guidelines by </w:t>
            </w:r>
            <w:r w:rsidRPr="00306F5A">
              <w:rPr>
                <w:rFonts w:ascii="Arial" w:hAnsi="Arial" w:cs="Arial"/>
                <w:lang w:bidi="ar-SA"/>
              </w:rPr>
              <w:t>December 2019</w:t>
            </w:r>
          </w:p>
        </w:tc>
      </w:tr>
      <w:tr w:rsidR="00255E89" w:rsidRPr="00306F5A" w:rsidTr="0052314A">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255E89" w:rsidRPr="00306F5A" w:rsidRDefault="00255E89" w:rsidP="00255E89">
            <w:pPr>
              <w:keepNext/>
              <w:widowControl w:val="0"/>
              <w:jc w:val="left"/>
              <w:rPr>
                <w:rFonts w:ascii="Arial" w:hAnsi="Arial" w:cs="Arial"/>
                <w:b w:val="0"/>
                <w:bCs w:val="0"/>
              </w:rPr>
            </w:pPr>
            <w:r w:rsidRPr="00306F5A">
              <w:rPr>
                <w:rFonts w:ascii="Arial" w:hAnsi="Arial" w:cs="Arial"/>
                <w:b w:val="0"/>
                <w:bCs w:val="0"/>
              </w:rPr>
              <w:t>Develop a “</w:t>
            </w:r>
            <w:r w:rsidR="00254AFD">
              <w:rPr>
                <w:rFonts w:ascii="Arial" w:hAnsi="Arial" w:cs="Arial"/>
                <w:b w:val="0"/>
                <w:bCs w:val="0"/>
              </w:rPr>
              <w:t>White Paper</w:t>
            </w:r>
            <w:r w:rsidRPr="00306F5A">
              <w:rPr>
                <w:rFonts w:ascii="Arial" w:hAnsi="Arial" w:cs="Arial"/>
                <w:b w:val="0"/>
                <w:bCs w:val="0"/>
              </w:rPr>
              <w:t>” describing “Use of technolog</w:t>
            </w:r>
            <w:r w:rsidR="0033476C">
              <w:rPr>
                <w:rFonts w:ascii="Arial" w:hAnsi="Arial" w:cs="Arial"/>
                <w:b w:val="0"/>
                <w:bCs w:val="0"/>
              </w:rPr>
              <w:t>ies</w:t>
            </w:r>
            <w:r w:rsidRPr="00306F5A">
              <w:rPr>
                <w:rFonts w:ascii="Arial" w:hAnsi="Arial" w:cs="Arial"/>
                <w:b w:val="0"/>
                <w:bCs w:val="0"/>
              </w:rPr>
              <w:t xml:space="preserve"> for </w:t>
            </w:r>
            <w:r w:rsidR="0033476C">
              <w:rPr>
                <w:rFonts w:ascii="Arial" w:hAnsi="Arial" w:cs="Arial"/>
                <w:b w:val="0"/>
                <w:bCs w:val="0"/>
              </w:rPr>
              <w:t>e</w:t>
            </w:r>
            <w:r w:rsidRPr="00306F5A">
              <w:rPr>
                <w:rFonts w:ascii="Arial" w:hAnsi="Arial" w:cs="Arial"/>
                <w:b w:val="0"/>
                <w:bCs w:val="0"/>
              </w:rPr>
              <w:t xml:space="preserve">rror </w:t>
            </w:r>
            <w:r w:rsidR="0033476C">
              <w:rPr>
                <w:rFonts w:ascii="Arial" w:hAnsi="Arial" w:cs="Arial"/>
                <w:b w:val="0"/>
                <w:bCs w:val="0"/>
              </w:rPr>
              <w:t>r</w:t>
            </w:r>
            <w:r w:rsidRPr="00306F5A">
              <w:rPr>
                <w:rFonts w:ascii="Arial" w:hAnsi="Arial" w:cs="Arial"/>
                <w:b w:val="0"/>
                <w:bCs w:val="0"/>
              </w:rPr>
              <w:t xml:space="preserve">eduction” </w:t>
            </w:r>
          </w:p>
          <w:p w:rsidR="00255E89" w:rsidRPr="00306F5A" w:rsidRDefault="00255E89" w:rsidP="00255E89">
            <w:pPr>
              <w:keepNext/>
              <w:widowControl w:val="0"/>
              <w:jc w:val="left"/>
              <w:rPr>
                <w:rFonts w:ascii="Arial" w:hAnsi="Arial" w:cs="Arial"/>
                <w:b w:val="0"/>
              </w:rPr>
            </w:pPr>
          </w:p>
        </w:tc>
        <w:tc>
          <w:tcPr>
            <w:tcW w:w="1885" w:type="pct"/>
            <w:tcBorders>
              <w:left w:val="single" w:sz="8" w:space="0" w:color="4F81BD"/>
              <w:right w:val="single" w:sz="8" w:space="0" w:color="4F81BD"/>
            </w:tcBorders>
          </w:tcPr>
          <w:p w:rsidR="00255E89" w:rsidRPr="00306F5A" w:rsidRDefault="00FD4628" w:rsidP="0033476C">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This activity will provide</w:t>
            </w:r>
            <w:r w:rsidR="00255E89" w:rsidRPr="00306F5A">
              <w:rPr>
                <w:rFonts w:ascii="Arial" w:hAnsi="Arial" w:cs="Arial"/>
                <w:lang w:bidi="ar-SA"/>
              </w:rPr>
              <w:t xml:space="preserve"> facilities/laboratories options for technologies that can be </w:t>
            </w:r>
            <w:r w:rsidR="0033476C">
              <w:rPr>
                <w:rFonts w:ascii="Arial" w:hAnsi="Arial" w:cs="Arial"/>
                <w:lang w:bidi="ar-SA"/>
              </w:rPr>
              <w:t>utilized</w:t>
            </w:r>
            <w:r w:rsidR="0033476C" w:rsidRPr="00306F5A">
              <w:rPr>
                <w:rFonts w:ascii="Arial" w:hAnsi="Arial" w:cs="Arial"/>
                <w:lang w:bidi="ar-SA"/>
              </w:rPr>
              <w:t xml:space="preserve"> </w:t>
            </w:r>
            <w:r w:rsidR="00255E89" w:rsidRPr="00306F5A">
              <w:rPr>
                <w:rFonts w:ascii="Arial" w:hAnsi="Arial" w:cs="Arial"/>
                <w:lang w:bidi="ar-SA"/>
              </w:rPr>
              <w:t>to reduce errors.</w:t>
            </w:r>
          </w:p>
        </w:tc>
        <w:tc>
          <w:tcPr>
            <w:tcW w:w="1724" w:type="pct"/>
            <w:tcBorders>
              <w:left w:val="single" w:sz="8" w:space="0" w:color="4F81BD"/>
            </w:tcBorders>
          </w:tcPr>
          <w:p w:rsidR="00255E89" w:rsidRPr="00306F5A" w:rsidRDefault="00255E89" w:rsidP="0033476C">
            <w:pPr>
              <w:keepNext/>
              <w:widowControl w:val="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 xml:space="preserve">Publish a </w:t>
            </w:r>
            <w:r w:rsidR="00254AFD">
              <w:rPr>
                <w:rFonts w:ascii="Arial" w:hAnsi="Arial" w:cs="Arial"/>
              </w:rPr>
              <w:t>White Paper</w:t>
            </w:r>
            <w:r w:rsidRPr="00306F5A">
              <w:rPr>
                <w:rFonts w:ascii="Arial" w:hAnsi="Arial" w:cs="Arial"/>
              </w:rPr>
              <w:t xml:space="preserve"> on </w:t>
            </w:r>
            <w:r w:rsidR="0033476C">
              <w:rPr>
                <w:rFonts w:ascii="Arial" w:hAnsi="Arial" w:cs="Arial"/>
              </w:rPr>
              <w:t>“</w:t>
            </w:r>
            <w:r w:rsidRPr="00306F5A">
              <w:rPr>
                <w:rFonts w:ascii="Arial" w:hAnsi="Arial" w:cs="Arial"/>
              </w:rPr>
              <w:t>Use of technologies for error reduction.</w:t>
            </w:r>
            <w:r w:rsidR="0033476C">
              <w:rPr>
                <w:rFonts w:ascii="Arial" w:hAnsi="Arial" w:cs="Arial"/>
              </w:rPr>
              <w:t>”</w:t>
            </w:r>
          </w:p>
        </w:tc>
      </w:tr>
      <w:tr w:rsidR="00255E89" w:rsidRPr="00306F5A" w:rsidTr="005231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pct"/>
            <w:tcBorders>
              <w:right w:val="single" w:sz="8" w:space="0" w:color="4F81BD"/>
            </w:tcBorders>
          </w:tcPr>
          <w:p w:rsidR="00255E89" w:rsidRPr="00306F5A" w:rsidRDefault="00255E89" w:rsidP="00255E89">
            <w:pPr>
              <w:keepNext/>
              <w:widowControl w:val="0"/>
              <w:jc w:val="left"/>
              <w:rPr>
                <w:rFonts w:ascii="Arial" w:hAnsi="Arial" w:cs="Arial"/>
                <w:b w:val="0"/>
                <w:bCs w:val="0"/>
              </w:rPr>
            </w:pPr>
            <w:r w:rsidRPr="00306F5A">
              <w:rPr>
                <w:rFonts w:ascii="Arial" w:hAnsi="Arial" w:cs="Arial"/>
                <w:b w:val="0"/>
                <w:bCs w:val="0"/>
              </w:rPr>
              <w:t>Develop a “Questions to use during work planning and pre-job briefs to discover the presence of error precursors”</w:t>
            </w:r>
            <w:r w:rsidR="00AE4AF2">
              <w:rPr>
                <w:rFonts w:ascii="Arial" w:hAnsi="Arial" w:cs="Arial"/>
                <w:b w:val="0"/>
                <w:bCs w:val="0"/>
              </w:rPr>
              <w:t xml:space="preserve"> **</w:t>
            </w:r>
          </w:p>
        </w:tc>
        <w:tc>
          <w:tcPr>
            <w:tcW w:w="1885"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To support HPI error reduction, develop questions that can be utilized for work planning and pre-job briefs.</w:t>
            </w:r>
          </w:p>
        </w:tc>
        <w:tc>
          <w:tcPr>
            <w:tcW w:w="1724" w:type="pct"/>
            <w:tcBorders>
              <w:left w:val="single" w:sz="8" w:space="0" w:color="4F81BD"/>
            </w:tcBorders>
          </w:tcPr>
          <w:p w:rsidR="00255E89" w:rsidRPr="00306F5A" w:rsidRDefault="00255E89" w:rsidP="004A2647">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rPr>
              <w:t>Publish the list</w:t>
            </w:r>
            <w:r w:rsidR="00AE4AF2">
              <w:rPr>
                <w:rFonts w:ascii="Arial" w:hAnsi="Arial" w:cs="Arial"/>
              </w:rPr>
              <w:t xml:space="preserve"> on the EFCOG website</w:t>
            </w:r>
            <w:r w:rsidR="004A2647" w:rsidRPr="00306F5A">
              <w:rPr>
                <w:rFonts w:ascii="Arial" w:hAnsi="Arial" w:cs="Arial"/>
              </w:rPr>
              <w:t xml:space="preserve">. </w:t>
            </w:r>
            <w:r w:rsidR="00254AFD">
              <w:rPr>
                <w:rFonts w:ascii="Arial" w:hAnsi="Arial" w:cs="Arial"/>
              </w:rPr>
              <w:t>**</w:t>
            </w:r>
          </w:p>
        </w:tc>
      </w:tr>
    </w:tbl>
    <w:p w:rsidR="00254AFD" w:rsidRDefault="00254AFD">
      <w:r>
        <w:rPr>
          <w:b/>
          <w:bCs/>
        </w:rPr>
        <w:br w:type="page"/>
      </w:r>
    </w:p>
    <w:tbl>
      <w:tblPr>
        <w:tblStyle w:val="LightList-Accent11"/>
        <w:tblW w:w="5010" w:type="pct"/>
        <w:tblInd w:w="-10" w:type="dxa"/>
        <w:tblLayout w:type="fixed"/>
        <w:tblLook w:val="04A0" w:firstRow="1" w:lastRow="0" w:firstColumn="1" w:lastColumn="0" w:noHBand="0" w:noVBand="1"/>
      </w:tblPr>
      <w:tblGrid>
        <w:gridCol w:w="12"/>
        <w:gridCol w:w="3501"/>
        <w:gridCol w:w="104"/>
        <w:gridCol w:w="4865"/>
        <w:gridCol w:w="31"/>
        <w:gridCol w:w="4453"/>
      </w:tblGrid>
      <w:tr w:rsidR="00255E89" w:rsidRPr="00306F5A" w:rsidTr="00AD5E93">
        <w:trPr>
          <w:gridBefore w:val="1"/>
          <w:cnfStyle w:val="100000000000" w:firstRow="1" w:lastRow="0" w:firstColumn="0" w:lastColumn="0" w:oddVBand="0" w:evenVBand="0" w:oddHBand="0"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4995" w:type="pct"/>
            <w:gridSpan w:val="5"/>
            <w:shd w:val="clear" w:color="auto" w:fill="DAEEF3" w:themeFill="accent5" w:themeFillTint="33"/>
          </w:tcPr>
          <w:p w:rsidR="00255E89" w:rsidRPr="00306F5A" w:rsidRDefault="00255E89" w:rsidP="00255E89">
            <w:pPr>
              <w:jc w:val="left"/>
              <w:rPr>
                <w:rFonts w:ascii="Arial" w:hAnsi="Arial" w:cs="Arial"/>
                <w:b w:val="0"/>
                <w:sz w:val="28"/>
                <w:lang w:bidi="ar-SA"/>
              </w:rPr>
            </w:pPr>
            <w:r w:rsidRPr="00306F5A">
              <w:rPr>
                <w:rFonts w:ascii="Arial" w:hAnsi="Arial" w:cs="Arial"/>
                <w:lang w:bidi="ar-SA"/>
              </w:rPr>
              <w:t>Safety Culture</w:t>
            </w:r>
          </w:p>
        </w:tc>
      </w:tr>
      <w:tr w:rsidR="00255E89" w:rsidRPr="00306F5A" w:rsidTr="00387DF7">
        <w:trPr>
          <w:gridBefore w:val="1"/>
          <w:cnfStyle w:val="000000100000" w:firstRow="0" w:lastRow="0" w:firstColumn="0" w:lastColumn="0" w:oddVBand="0" w:evenVBand="0" w:oddHBand="1" w:evenHBand="0" w:firstRowFirstColumn="0" w:firstRowLastColumn="0" w:lastRowFirstColumn="0" w:lastRowLastColumn="0"/>
          <w:wBefore w:w="5" w:type="pct"/>
          <w:trHeight w:val="1123"/>
        </w:trPr>
        <w:tc>
          <w:tcPr>
            <w:cnfStyle w:val="001000000000" w:firstRow="0" w:lastRow="0" w:firstColumn="1" w:lastColumn="0" w:oddVBand="0" w:evenVBand="0" w:oddHBand="0" w:evenHBand="0" w:firstRowFirstColumn="0" w:firstRowLastColumn="0" w:lastRowFirstColumn="0" w:lastRowLastColumn="0"/>
            <w:tcW w:w="1390" w:type="pct"/>
            <w:gridSpan w:val="2"/>
            <w:tcBorders>
              <w:right w:val="single" w:sz="8" w:space="0" w:color="4F81BD"/>
            </w:tcBorders>
          </w:tcPr>
          <w:p w:rsidR="00255E89" w:rsidRPr="00306F5A" w:rsidRDefault="00255E89" w:rsidP="0052314A">
            <w:pPr>
              <w:jc w:val="left"/>
              <w:rPr>
                <w:rFonts w:ascii="Arial" w:hAnsi="Arial" w:cs="Arial"/>
                <w:b w:val="0"/>
                <w:bCs w:val="0"/>
                <w:lang w:bidi="ar-SA"/>
              </w:rPr>
            </w:pPr>
            <w:r w:rsidRPr="00306F5A">
              <w:rPr>
                <w:rFonts w:ascii="Arial" w:hAnsi="Arial" w:cs="Arial"/>
                <w:b w:val="0"/>
                <w:bCs w:val="0"/>
                <w:lang w:bidi="ar-SA"/>
              </w:rPr>
              <w:t>Identify potential gaps (from the Safety Culture Workshop in Idaho) that need to be added to the Strategic Plan during FY2</w:t>
            </w:r>
            <w:r w:rsidR="0052314A">
              <w:rPr>
                <w:rFonts w:ascii="Arial" w:hAnsi="Arial" w:cs="Arial"/>
                <w:b w:val="0"/>
                <w:bCs w:val="0"/>
                <w:lang w:bidi="ar-SA"/>
              </w:rPr>
              <w:t>0</w:t>
            </w:r>
            <w:r w:rsidRPr="00306F5A">
              <w:rPr>
                <w:rFonts w:ascii="Arial" w:hAnsi="Arial" w:cs="Arial"/>
                <w:b w:val="0"/>
                <w:bCs w:val="0"/>
                <w:lang w:bidi="ar-SA"/>
              </w:rPr>
              <w:t>, including developing an assessment tool that could be added to a consolidate</w:t>
            </w:r>
            <w:r w:rsidR="0033476C">
              <w:rPr>
                <w:rFonts w:ascii="Arial" w:hAnsi="Arial" w:cs="Arial"/>
                <w:b w:val="0"/>
                <w:bCs w:val="0"/>
                <w:lang w:bidi="ar-SA"/>
              </w:rPr>
              <w:t>d</w:t>
            </w:r>
            <w:r w:rsidRPr="00306F5A">
              <w:rPr>
                <w:rFonts w:ascii="Arial" w:hAnsi="Arial" w:cs="Arial"/>
                <w:b w:val="0"/>
                <w:bCs w:val="0"/>
                <w:lang w:bidi="ar-SA"/>
              </w:rPr>
              <w:t xml:space="preserve"> ISM tool.</w:t>
            </w:r>
          </w:p>
        </w:tc>
        <w:tc>
          <w:tcPr>
            <w:tcW w:w="1876"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The development of a holistic plan for safety culture implementation.</w:t>
            </w:r>
          </w:p>
        </w:tc>
        <w:tc>
          <w:tcPr>
            <w:tcW w:w="1729" w:type="pct"/>
            <w:gridSpan w:val="2"/>
            <w:tcBorders>
              <w:left w:val="single" w:sz="8" w:space="0" w:color="4F81BD"/>
            </w:tcBorders>
          </w:tcPr>
          <w:p w:rsidR="00255E89" w:rsidRPr="00306F5A" w:rsidRDefault="00255E89" w:rsidP="0052314A">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Develop Strategic Plan during FY2</w:t>
            </w:r>
            <w:r w:rsidR="0052314A">
              <w:rPr>
                <w:rFonts w:ascii="Arial" w:hAnsi="Arial" w:cs="Arial"/>
                <w:lang w:bidi="ar-SA"/>
              </w:rPr>
              <w:t>0</w:t>
            </w:r>
            <w:r w:rsidRPr="00306F5A">
              <w:rPr>
                <w:rFonts w:ascii="Arial" w:hAnsi="Arial" w:cs="Arial"/>
                <w:lang w:bidi="ar-SA"/>
              </w:rPr>
              <w:t>.</w:t>
            </w: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390" w:type="pct"/>
            <w:gridSpan w:val="2"/>
            <w:tcBorders>
              <w:right w:val="single" w:sz="8" w:space="0" w:color="4F81BD"/>
            </w:tcBorders>
          </w:tcPr>
          <w:p w:rsidR="00255E89" w:rsidRPr="00306F5A" w:rsidRDefault="00255E89" w:rsidP="00255E89">
            <w:pPr>
              <w:jc w:val="left"/>
              <w:rPr>
                <w:rFonts w:ascii="Arial" w:hAnsi="Arial" w:cs="Arial"/>
                <w:b w:val="0"/>
                <w:bCs w:val="0"/>
                <w:lang w:bidi="ar-SA"/>
              </w:rPr>
            </w:pPr>
            <w:r w:rsidRPr="00306F5A">
              <w:rPr>
                <w:rFonts w:ascii="Arial" w:hAnsi="Arial" w:cs="Arial"/>
                <w:b w:val="0"/>
                <w:bCs w:val="0"/>
                <w:lang w:bidi="ar-SA"/>
              </w:rPr>
              <w:t>Develop a list of metrics to monitor safety culture. Identify labs/projects to pilot the metrics to evaluate effectiveness.</w:t>
            </w:r>
          </w:p>
        </w:tc>
        <w:tc>
          <w:tcPr>
            <w:tcW w:w="1876" w:type="pct"/>
            <w:tcBorders>
              <w:left w:val="single" w:sz="8" w:space="0" w:color="4F81BD"/>
              <w:right w:val="single" w:sz="8" w:space="0" w:color="4F81BD"/>
            </w:tcBorders>
          </w:tcPr>
          <w:p w:rsidR="00255E89" w:rsidRPr="00306F5A" w:rsidRDefault="00255E89" w:rsidP="0033476C">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This activity will provide a recommend set of metrics to measure safety culture for a </w:t>
            </w:r>
            <w:r w:rsidR="0033476C" w:rsidRPr="00306F5A">
              <w:rPr>
                <w:rFonts w:ascii="Arial" w:hAnsi="Arial" w:cs="Arial"/>
                <w:lang w:bidi="ar-SA"/>
              </w:rPr>
              <w:t>laboratory</w:t>
            </w:r>
            <w:r w:rsidR="0033476C">
              <w:rPr>
                <w:rFonts w:ascii="Arial" w:hAnsi="Arial" w:cs="Arial"/>
                <w:lang w:bidi="ar-SA"/>
              </w:rPr>
              <w:t xml:space="preserve"> </w:t>
            </w:r>
            <w:r w:rsidRPr="00306F5A">
              <w:rPr>
                <w:rFonts w:ascii="Arial" w:hAnsi="Arial" w:cs="Arial"/>
                <w:lang w:bidi="ar-SA"/>
              </w:rPr>
              <w:t>or</w:t>
            </w:r>
            <w:r w:rsidR="0033476C">
              <w:rPr>
                <w:rFonts w:ascii="Arial" w:hAnsi="Arial" w:cs="Arial"/>
                <w:lang w:bidi="ar-SA"/>
              </w:rPr>
              <w:t xml:space="preserve"> project</w:t>
            </w:r>
            <w:r w:rsidRPr="00306F5A">
              <w:rPr>
                <w:rFonts w:ascii="Arial" w:hAnsi="Arial" w:cs="Arial"/>
                <w:lang w:bidi="ar-SA"/>
              </w:rPr>
              <w:t>. Metrics will be discussed at part of the upcoming Fall Safety Culture Workshop 2019.</w:t>
            </w:r>
          </w:p>
        </w:tc>
        <w:tc>
          <w:tcPr>
            <w:tcW w:w="1729" w:type="pct"/>
            <w:gridSpan w:val="2"/>
            <w:tcBorders>
              <w:lef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Develop metrics and identify pilots by 9/30/20.</w:t>
            </w:r>
          </w:p>
        </w:tc>
      </w:tr>
      <w:tr w:rsidR="00255E89" w:rsidRPr="00306F5A" w:rsidTr="00AD5E93">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4995" w:type="pct"/>
            <w:gridSpan w:val="5"/>
            <w:shd w:val="clear" w:color="auto" w:fill="DDD9C3"/>
          </w:tcPr>
          <w:p w:rsidR="00255E89" w:rsidRPr="00306F5A" w:rsidRDefault="00255E89" w:rsidP="00255E89">
            <w:pPr>
              <w:jc w:val="left"/>
              <w:rPr>
                <w:rFonts w:ascii="Arial" w:hAnsi="Arial" w:cs="Arial"/>
                <w:b w:val="0"/>
                <w:sz w:val="28"/>
                <w:lang w:bidi="ar-SA"/>
              </w:rPr>
            </w:pPr>
            <w:r w:rsidRPr="00306F5A">
              <w:rPr>
                <w:rFonts w:ascii="Arial" w:hAnsi="Arial" w:cs="Arial"/>
                <w:b w:val="0"/>
                <w:sz w:val="28"/>
                <w:lang w:bidi="ar-SA"/>
              </w:rPr>
              <w:t>3.0   Nuclear &amp; Facility Safety</w:t>
            </w:r>
          </w:p>
        </w:tc>
      </w:tr>
      <w:tr w:rsidR="00255E89" w:rsidRPr="00306F5A" w:rsidTr="00387D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AEEF3" w:themeFill="accent5" w:themeFillTint="33"/>
          </w:tcPr>
          <w:p w:rsidR="00255E89" w:rsidRPr="00306F5A" w:rsidRDefault="00255E89" w:rsidP="00255E89">
            <w:pPr>
              <w:jc w:val="left"/>
              <w:rPr>
                <w:rFonts w:ascii="Arial" w:hAnsi="Arial" w:cs="Arial"/>
                <w:b w:val="0"/>
                <w:lang w:bidi="ar-SA"/>
              </w:rPr>
            </w:pPr>
            <w:r w:rsidRPr="00306F5A">
              <w:rPr>
                <w:rFonts w:ascii="Arial" w:hAnsi="Arial" w:cs="Arial"/>
                <w:b w:val="0"/>
                <w:lang w:bidi="ar-SA"/>
              </w:rPr>
              <w:t>Accident Analysis</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Write a </w:t>
            </w:r>
            <w:r w:rsidR="00254AFD">
              <w:rPr>
                <w:rFonts w:ascii="Arial" w:hAnsi="Arial" w:cs="Arial"/>
                <w:b w:val="0"/>
                <w:lang w:bidi="ar-SA"/>
              </w:rPr>
              <w:t>White Paper</w:t>
            </w:r>
            <w:r w:rsidRPr="00306F5A">
              <w:rPr>
                <w:rFonts w:ascii="Arial" w:hAnsi="Arial" w:cs="Arial"/>
                <w:b w:val="0"/>
                <w:lang w:bidi="ar-SA"/>
              </w:rPr>
              <w:t xml:space="preserve"> to document new methods for calculating aircraft crash frequencies to support eventual updating of DOE-STD-3014, </w:t>
            </w:r>
            <w:r w:rsidRPr="00306F5A">
              <w:rPr>
                <w:rFonts w:ascii="Arial" w:hAnsi="Arial" w:cs="Arial"/>
                <w:b w:val="0"/>
                <w:i/>
                <w:lang w:bidi="ar-SA"/>
              </w:rPr>
              <w:t>Accident Analysis for Aircraft Crash into Hazardous Facilities</w:t>
            </w:r>
            <w:r w:rsidRPr="00306F5A">
              <w:rPr>
                <w:rFonts w:ascii="Arial" w:hAnsi="Arial" w:cs="Arial"/>
                <w:b w:val="0"/>
                <w:lang w:bidi="ar-SA"/>
              </w:rPr>
              <w:t>.</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Provide new calculation methods to replace outdated method provided in DOE-STD-3014.  Consistently applied method across the contractor community in the DOE complex.</w:t>
            </w:r>
          </w:p>
        </w:tc>
        <w:tc>
          <w:tcPr>
            <w:tcW w:w="1717" w:type="pct"/>
            <w:tcBorders>
              <w:left w:val="single" w:sz="8" w:space="0" w:color="4F81BD"/>
            </w:tcBorders>
          </w:tcPr>
          <w:p w:rsidR="00255E89" w:rsidRPr="00306F5A" w:rsidRDefault="00254AFD" w:rsidP="003237D5">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Pr>
                <w:rFonts w:ascii="Arial" w:hAnsi="Arial" w:cs="Arial"/>
                <w:lang w:bidi="ar-SA"/>
              </w:rPr>
              <w:t>White Paper</w:t>
            </w:r>
            <w:r w:rsidR="00255E89" w:rsidRPr="00306F5A">
              <w:rPr>
                <w:rFonts w:ascii="Arial" w:hAnsi="Arial" w:cs="Arial"/>
                <w:lang w:bidi="ar-SA"/>
              </w:rPr>
              <w:t xml:space="preserve"> - Aircraft Crash Frequency Calculation Methods.</w:t>
            </w:r>
          </w:p>
        </w:tc>
      </w:tr>
      <w:tr w:rsidR="00255E89" w:rsidRPr="00306F5A" w:rsidTr="00387DF7">
        <w:trPr>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Write a </w:t>
            </w:r>
            <w:r w:rsidR="00254AFD">
              <w:rPr>
                <w:rFonts w:ascii="Arial" w:hAnsi="Arial" w:cs="Arial"/>
                <w:b w:val="0"/>
                <w:lang w:bidi="ar-SA"/>
              </w:rPr>
              <w:t>White Paper</w:t>
            </w:r>
            <w:r w:rsidRPr="00306F5A">
              <w:rPr>
                <w:rFonts w:ascii="Arial" w:hAnsi="Arial" w:cs="Arial"/>
                <w:b w:val="0"/>
                <w:lang w:bidi="ar-SA"/>
              </w:rPr>
              <w:t xml:space="preserve"> that describes the benchmark new pressurized spray leak methods within the DOE complex to enable the methodology to be accepted during the RevCom review of DOE-HDBK-3010, </w:t>
            </w:r>
            <w:r w:rsidRPr="00306F5A">
              <w:rPr>
                <w:rFonts w:ascii="Arial" w:hAnsi="Arial" w:cs="Arial"/>
                <w:b w:val="0"/>
                <w:i/>
                <w:lang w:bidi="ar-SA"/>
              </w:rPr>
              <w:t>Airborne Release Fractions / Rates and Respirable Fractions Handbook</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Benchmark results will allow adoption of the new spray leak methods more quickly and consistently across the contractor community in the DOE complex.</w:t>
            </w:r>
          </w:p>
        </w:tc>
        <w:tc>
          <w:tcPr>
            <w:tcW w:w="1717" w:type="pct"/>
            <w:tcBorders>
              <w:left w:val="single" w:sz="8" w:space="0" w:color="4F81BD"/>
            </w:tcBorders>
          </w:tcPr>
          <w:p w:rsidR="00255E89" w:rsidRPr="00306F5A" w:rsidRDefault="00254AFD" w:rsidP="003237D5">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White Paper</w:t>
            </w:r>
            <w:r w:rsidR="00255E89" w:rsidRPr="00306F5A">
              <w:rPr>
                <w:rFonts w:ascii="Arial" w:hAnsi="Arial" w:cs="Arial"/>
                <w:lang w:bidi="ar-SA"/>
              </w:rPr>
              <w:t xml:space="preserve"> – New Pressurized Spray Leak Methodology Benchmarking Results. Concurrent with or prior to the release of DOE-HDBK-3010.</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Continue SME support of NTC training development for DOE-HDBK-1224, </w:t>
            </w:r>
            <w:r w:rsidRPr="00306F5A">
              <w:rPr>
                <w:rFonts w:ascii="Arial" w:hAnsi="Arial" w:cs="Arial"/>
                <w:b w:val="0"/>
                <w:i/>
                <w:lang w:bidi="ar-SA"/>
              </w:rPr>
              <w:t>Hazard and Accident Analysis Handbook</w:t>
            </w:r>
            <w:r w:rsidRPr="00306F5A">
              <w:rPr>
                <w:rFonts w:ascii="Arial" w:hAnsi="Arial" w:cs="Arial"/>
                <w:b w:val="0"/>
                <w:lang w:bidi="ar-SA"/>
              </w:rPr>
              <w:t xml:space="preserve"> and attend pilot course presentations.</w:t>
            </w:r>
            <w:r w:rsidR="003237D5">
              <w:rPr>
                <w:rFonts w:ascii="Arial" w:hAnsi="Arial" w:cs="Arial"/>
                <w:b w:val="0"/>
                <w:lang w:bidi="ar-SA"/>
              </w:rPr>
              <w:t xml:space="preserve"> **</w:t>
            </w:r>
          </w:p>
        </w:tc>
        <w:tc>
          <w:tcPr>
            <w:tcW w:w="1928" w:type="pct"/>
            <w:gridSpan w:val="3"/>
            <w:tcBorders>
              <w:left w:val="single" w:sz="8" w:space="0" w:color="4F81BD"/>
              <w:right w:val="single" w:sz="8" w:space="0" w:color="4F81BD"/>
            </w:tcBorders>
          </w:tcPr>
          <w:p w:rsidR="00255E89" w:rsidRPr="00306F5A" w:rsidRDefault="00255E89" w:rsidP="00255E89">
            <w:pPr>
              <w:tabs>
                <w:tab w:val="left" w:pos="1000"/>
              </w:tabs>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Ensure training that is consistent with the intent of the hazard and accident analysis methods that the SMEs developed.  Consistently applied methods across the contractor community in the DOE complex.</w:t>
            </w:r>
          </w:p>
        </w:tc>
        <w:tc>
          <w:tcPr>
            <w:tcW w:w="1717" w:type="pct"/>
            <w:tcBorders>
              <w:lef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NTC Training Course on DOE-HDBK-1224 vetted through p</w:t>
            </w:r>
            <w:r w:rsidR="004A2647" w:rsidRPr="00306F5A">
              <w:rPr>
                <w:rFonts w:ascii="Arial" w:hAnsi="Arial" w:cs="Arial"/>
                <w:lang w:bidi="ar-SA"/>
              </w:rPr>
              <w:t>ilot course.  **</w:t>
            </w:r>
          </w:p>
        </w:tc>
      </w:tr>
      <w:tr w:rsidR="00255E89" w:rsidRPr="00306F5A" w:rsidTr="00387DF7">
        <w:trPr>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Support biennial revision of DOE-HDBK-1224, </w:t>
            </w:r>
            <w:r w:rsidRPr="00306F5A">
              <w:rPr>
                <w:rFonts w:ascii="Arial" w:hAnsi="Arial" w:cs="Arial"/>
                <w:b w:val="0"/>
                <w:i/>
                <w:lang w:bidi="ar-SA"/>
              </w:rPr>
              <w:t>Hazard and Accident Analysis Handbook</w:t>
            </w:r>
            <w:r w:rsidRPr="00306F5A">
              <w:rPr>
                <w:rFonts w:ascii="Arial" w:hAnsi="Arial" w:cs="Arial"/>
                <w:b w:val="0"/>
                <w:lang w:bidi="ar-SA"/>
              </w:rPr>
              <w:t xml:space="preserve">.  Complete </w:t>
            </w:r>
            <w:r w:rsidR="00254AFD">
              <w:rPr>
                <w:rFonts w:ascii="Arial" w:hAnsi="Arial" w:cs="Arial"/>
                <w:b w:val="0"/>
                <w:lang w:bidi="ar-SA"/>
              </w:rPr>
              <w:t>White Paper</w:t>
            </w:r>
            <w:r w:rsidRPr="00306F5A">
              <w:rPr>
                <w:rFonts w:ascii="Arial" w:hAnsi="Arial" w:cs="Arial"/>
                <w:b w:val="0"/>
                <w:lang w:bidi="ar-SA"/>
              </w:rPr>
              <w:t xml:space="preserve">s to document other action items for revision.  </w:t>
            </w:r>
          </w:p>
        </w:tc>
        <w:tc>
          <w:tcPr>
            <w:tcW w:w="1928" w:type="pct"/>
            <w:gridSpan w:val="3"/>
            <w:tcBorders>
              <w:left w:val="single" w:sz="8" w:space="0" w:color="4F81BD"/>
              <w:right w:val="single" w:sz="8" w:space="0" w:color="4F81BD"/>
            </w:tcBorders>
          </w:tcPr>
          <w:p w:rsidR="00255E89" w:rsidRPr="00306F5A" w:rsidRDefault="00255E89" w:rsidP="00255E89">
            <w:pPr>
              <w:tabs>
                <w:tab w:val="left" w:pos="1690"/>
              </w:tabs>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Provide hazard and accident analysis methods to enhance the methods provided in DOE-STD-3014.  Consistently applied methods across the contractor community in the DOE complex.</w:t>
            </w:r>
          </w:p>
        </w:tc>
        <w:tc>
          <w:tcPr>
            <w:tcW w:w="1717" w:type="pct"/>
            <w:tcBorders>
              <w:lef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rPr>
              <w:t xml:space="preserve">White </w:t>
            </w:r>
            <w:r w:rsidR="003237D5">
              <w:rPr>
                <w:rFonts w:ascii="Arial" w:hAnsi="Arial" w:cs="Arial"/>
              </w:rPr>
              <w:t>P</w:t>
            </w:r>
            <w:r w:rsidRPr="00306F5A">
              <w:rPr>
                <w:rFonts w:ascii="Arial" w:hAnsi="Arial" w:cs="Arial"/>
              </w:rPr>
              <w:t>aper on the treatment of the Composite Lower Explosive Limit (CLEL) describing the basis for determining the CLEL</w:t>
            </w:r>
            <w:r w:rsidR="003237D5">
              <w:rPr>
                <w:rFonts w:ascii="Arial" w:hAnsi="Arial" w:cs="Arial"/>
              </w:rPr>
              <w:t>.</w:t>
            </w:r>
          </w:p>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rPr>
              <w:t xml:space="preserve">White </w:t>
            </w:r>
            <w:r w:rsidR="003237D5">
              <w:rPr>
                <w:rFonts w:ascii="Arial" w:hAnsi="Arial" w:cs="Arial"/>
              </w:rPr>
              <w:t>P</w:t>
            </w:r>
            <w:r w:rsidRPr="00306F5A">
              <w:rPr>
                <w:rFonts w:ascii="Arial" w:hAnsi="Arial" w:cs="Arial"/>
              </w:rPr>
              <w:t>aper to provide the basis for purge calculations related to the control of flammable mixtures during steady-state operations and during recovery after an upset condition</w:t>
            </w:r>
            <w:r w:rsidR="003237D5">
              <w:rPr>
                <w:rFonts w:ascii="Arial" w:hAnsi="Arial" w:cs="Arial"/>
              </w:rPr>
              <w:t>.</w:t>
            </w:r>
          </w:p>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p w:rsidR="00255E89" w:rsidRPr="00306F5A" w:rsidRDefault="004A2647" w:rsidP="004A2647">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Produced </w:t>
            </w:r>
            <w:r w:rsidR="00255E89" w:rsidRPr="00306F5A">
              <w:rPr>
                <w:rFonts w:ascii="Arial" w:hAnsi="Arial" w:cs="Arial"/>
                <w:lang w:bidi="ar-SA"/>
              </w:rPr>
              <w:t>prior to revision of DOE-HDBK-1224</w:t>
            </w:r>
            <w:r w:rsidRPr="00306F5A">
              <w:rPr>
                <w:rFonts w:ascii="Arial" w:hAnsi="Arial" w:cs="Arial"/>
                <w:lang w:bidi="ar-SA"/>
              </w:rPr>
              <w:t>.</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Provide SME support to the Software Quality Assurance task group on input to DOE headquarters regarding the software most desired by the complex for inclusion in the toolbox.</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Ensure that DOE is informed on the software that the contractor community needs added or updated first to reduce cost of individually deploying at each site.</w:t>
            </w:r>
          </w:p>
        </w:tc>
        <w:tc>
          <w:tcPr>
            <w:tcW w:w="1717" w:type="pct"/>
            <w:tcBorders>
              <w:left w:val="single" w:sz="8" w:space="0" w:color="4F81BD"/>
            </w:tcBorders>
          </w:tcPr>
          <w:p w:rsidR="00255E89" w:rsidRPr="00306F5A" w:rsidRDefault="00255E89" w:rsidP="00C9031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Email </w:t>
            </w:r>
            <w:r w:rsidR="0033476C">
              <w:rPr>
                <w:rFonts w:ascii="Arial" w:hAnsi="Arial" w:cs="Arial"/>
                <w:lang w:bidi="ar-SA"/>
              </w:rPr>
              <w:t>l</w:t>
            </w:r>
            <w:r w:rsidRPr="00306F5A">
              <w:rPr>
                <w:rFonts w:ascii="Arial" w:hAnsi="Arial" w:cs="Arial"/>
                <w:lang w:bidi="ar-SA"/>
              </w:rPr>
              <w:t>ist of software most desired by contractor community</w:t>
            </w:r>
            <w:r w:rsidR="003237D5">
              <w:rPr>
                <w:rFonts w:ascii="Arial" w:hAnsi="Arial" w:cs="Arial"/>
                <w:lang w:bidi="ar-SA"/>
              </w:rPr>
              <w:t xml:space="preserve"> and publish on EFCOG website</w:t>
            </w:r>
            <w:r w:rsidRPr="00306F5A">
              <w:rPr>
                <w:rFonts w:ascii="Arial" w:hAnsi="Arial" w:cs="Arial"/>
                <w:lang w:bidi="ar-SA"/>
              </w:rPr>
              <w:t xml:space="preserve">.  </w:t>
            </w:r>
          </w:p>
        </w:tc>
      </w:tr>
      <w:tr w:rsidR="00255E89" w:rsidRPr="00306F5A" w:rsidTr="00387DF7">
        <w:trPr>
          <w:cantSplit/>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Provide SME support for enhancing the Safety Software Central Registry Evaluation Criteria to allow DOE “Toolbox” codes to be added or versions updated in a more timely manner.</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Provide new evaluation criteria to replace overly burdensome methods used today.  Potential for cost avoidance with consistent, known methods that can be applied consistently by each software developer.</w:t>
            </w:r>
          </w:p>
        </w:tc>
        <w:tc>
          <w:tcPr>
            <w:tcW w:w="1717" w:type="pct"/>
            <w:tcBorders>
              <w:left w:val="single" w:sz="8" w:space="0" w:color="4F81BD"/>
            </w:tcBorders>
          </w:tcPr>
          <w:p w:rsidR="00255E89" w:rsidRPr="00306F5A" w:rsidRDefault="00254AFD" w:rsidP="00C9031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documenting how to apply the new evaluation criteria.  </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AEEF3" w:themeFill="accent5" w:themeFillTint="33"/>
          </w:tcPr>
          <w:p w:rsidR="00255E89" w:rsidRPr="00306F5A" w:rsidRDefault="00255E89" w:rsidP="00255E89">
            <w:pPr>
              <w:keepNext/>
              <w:jc w:val="left"/>
              <w:rPr>
                <w:rFonts w:ascii="Arial" w:hAnsi="Arial" w:cs="Arial"/>
                <w:b w:val="0"/>
                <w:lang w:bidi="ar-SA"/>
              </w:rPr>
            </w:pPr>
            <w:r w:rsidRPr="00306F5A">
              <w:rPr>
                <w:rFonts w:ascii="Arial" w:hAnsi="Arial" w:cs="Arial"/>
                <w:b w:val="0"/>
                <w:lang w:bidi="ar-SA"/>
              </w:rPr>
              <w:t>Criticality Safety</w:t>
            </w:r>
          </w:p>
        </w:tc>
      </w:tr>
      <w:tr w:rsidR="00255E89" w:rsidRPr="00306F5A" w:rsidTr="00387DF7">
        <w:trPr>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C90319">
            <w:pPr>
              <w:jc w:val="left"/>
              <w:rPr>
                <w:rFonts w:ascii="Arial" w:hAnsi="Arial" w:cs="Arial"/>
                <w:b w:val="0"/>
                <w:lang w:bidi="ar-SA"/>
              </w:rPr>
            </w:pPr>
            <w:r w:rsidRPr="00306F5A">
              <w:rPr>
                <w:rFonts w:ascii="Arial" w:hAnsi="Arial" w:cs="Arial"/>
                <w:b w:val="0"/>
                <w:lang w:bidi="ar-SA"/>
              </w:rPr>
              <w:t xml:space="preserve">Develop a </w:t>
            </w:r>
            <w:r w:rsidR="0033476C">
              <w:rPr>
                <w:rFonts w:ascii="Arial" w:hAnsi="Arial" w:cs="Arial"/>
                <w:b w:val="0"/>
                <w:lang w:bidi="ar-SA"/>
              </w:rPr>
              <w:t>B</w:t>
            </w:r>
            <w:r w:rsidRPr="00306F5A">
              <w:rPr>
                <w:rFonts w:ascii="Arial" w:hAnsi="Arial" w:cs="Arial"/>
                <w:b w:val="0"/>
                <w:lang w:bidi="ar-SA"/>
              </w:rPr>
              <w:t xml:space="preserve">est </w:t>
            </w:r>
            <w:r w:rsidR="0033476C">
              <w:rPr>
                <w:rFonts w:ascii="Arial" w:hAnsi="Arial" w:cs="Arial"/>
                <w:b w:val="0"/>
                <w:lang w:bidi="ar-SA"/>
              </w:rPr>
              <w:t>P</w:t>
            </w:r>
            <w:r w:rsidRPr="00306F5A">
              <w:rPr>
                <w:rFonts w:ascii="Arial" w:hAnsi="Arial" w:cs="Arial"/>
                <w:b w:val="0"/>
                <w:lang w:bidi="ar-SA"/>
              </w:rPr>
              <w:t>ractice on criticality safety calculations using Monte Carlo codes.  This will include guidance on number of neutrons per generation, number of generations to run, and source convergence.</w:t>
            </w:r>
            <w:r w:rsidR="003237D5">
              <w:rPr>
                <w:rFonts w:ascii="Arial" w:hAnsi="Arial" w:cs="Arial"/>
                <w:b w:val="0"/>
                <w:lang w:bidi="ar-SA"/>
              </w:rPr>
              <w:t xml:space="preserve"> **</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Provide Monte Carlo methods to enhance the methods currently used at individual sites.  Consistently applied methods across the contractor community in the DOE complex.  Knowledge Transfer</w:t>
            </w:r>
            <w:r w:rsidR="0033476C">
              <w:rPr>
                <w:rFonts w:ascii="Arial" w:hAnsi="Arial" w:cs="Arial"/>
                <w:lang w:bidi="ar-SA"/>
              </w:rPr>
              <w:t>.</w:t>
            </w:r>
          </w:p>
        </w:tc>
        <w:tc>
          <w:tcPr>
            <w:tcW w:w="1717" w:type="pct"/>
            <w:tcBorders>
              <w:left w:val="single" w:sz="8" w:space="0" w:color="4F81BD"/>
            </w:tcBorders>
          </w:tcPr>
          <w:p w:rsidR="00255E89" w:rsidRPr="00306F5A" w:rsidRDefault="00254AFD" w:rsidP="00C9031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 Criticality safety </w:t>
            </w:r>
            <w:r w:rsidR="004A2647" w:rsidRPr="00306F5A">
              <w:rPr>
                <w:rFonts w:ascii="Arial" w:hAnsi="Arial" w:cs="Arial"/>
                <w:lang w:bidi="ar-SA"/>
              </w:rPr>
              <w:t>calculation</w:t>
            </w:r>
            <w:r w:rsidR="00255E89" w:rsidRPr="00306F5A">
              <w:rPr>
                <w:rFonts w:ascii="Arial" w:hAnsi="Arial" w:cs="Arial"/>
                <w:lang w:bidi="ar-SA"/>
              </w:rPr>
              <w:t xml:space="preserve"> methods using Monte Carlo codes.  </w:t>
            </w:r>
            <w:r w:rsidR="003237D5">
              <w:rPr>
                <w:rFonts w:ascii="Arial" w:hAnsi="Arial" w:cs="Arial"/>
                <w:lang w:bidi="ar-SA"/>
              </w:rPr>
              <w:t>**</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C90319">
            <w:pPr>
              <w:jc w:val="left"/>
              <w:rPr>
                <w:rFonts w:ascii="Arial" w:hAnsi="Arial" w:cs="Arial"/>
                <w:b w:val="0"/>
                <w:lang w:bidi="ar-SA"/>
              </w:rPr>
            </w:pPr>
            <w:r w:rsidRPr="00306F5A">
              <w:rPr>
                <w:rFonts w:ascii="Arial" w:hAnsi="Arial" w:cs="Arial"/>
                <w:b w:val="0"/>
                <w:lang w:bidi="ar-SA"/>
              </w:rPr>
              <w:t xml:space="preserve">Develop a </w:t>
            </w:r>
            <w:r w:rsidR="0033476C">
              <w:rPr>
                <w:rFonts w:ascii="Arial" w:hAnsi="Arial" w:cs="Arial"/>
                <w:b w:val="0"/>
                <w:lang w:bidi="ar-SA"/>
              </w:rPr>
              <w:t>W</w:t>
            </w:r>
            <w:r w:rsidRPr="00306F5A">
              <w:rPr>
                <w:rFonts w:ascii="Arial" w:hAnsi="Arial" w:cs="Arial"/>
                <w:b w:val="0"/>
                <w:lang w:bidi="ar-SA"/>
              </w:rPr>
              <w:t xml:space="preserve">hite </w:t>
            </w:r>
            <w:r w:rsidR="003237D5">
              <w:rPr>
                <w:rFonts w:ascii="Arial" w:hAnsi="Arial" w:cs="Arial"/>
                <w:b w:val="0"/>
                <w:lang w:bidi="ar-SA"/>
              </w:rPr>
              <w:t>P</w:t>
            </w:r>
            <w:r w:rsidRPr="00306F5A">
              <w:rPr>
                <w:rFonts w:ascii="Arial" w:hAnsi="Arial" w:cs="Arial"/>
                <w:b w:val="0"/>
                <w:lang w:bidi="ar-SA"/>
              </w:rPr>
              <w:t>aper on fissile gram equivalent or plutonium gram equivalent, advantages and disadvantages</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Provide gram equivalent methods discuss to ensure proper consideration and use.  Consistently applied methods across the contractor community in the DOE complex.  Knowledge Transfer</w:t>
            </w:r>
            <w:r w:rsidR="00C34E3E">
              <w:rPr>
                <w:rFonts w:ascii="Arial" w:hAnsi="Arial" w:cs="Arial"/>
                <w:lang w:bidi="ar-SA"/>
              </w:rPr>
              <w:t>.</w:t>
            </w:r>
          </w:p>
        </w:tc>
        <w:tc>
          <w:tcPr>
            <w:tcW w:w="1717" w:type="pct"/>
            <w:tcBorders>
              <w:left w:val="single" w:sz="8" w:space="0" w:color="4F81BD"/>
            </w:tcBorders>
          </w:tcPr>
          <w:p w:rsidR="00255E89" w:rsidRPr="00306F5A" w:rsidRDefault="00255E89" w:rsidP="00C9031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White </w:t>
            </w:r>
            <w:r w:rsidR="00C34E3E">
              <w:rPr>
                <w:rFonts w:ascii="Arial" w:hAnsi="Arial" w:cs="Arial"/>
                <w:lang w:bidi="ar-SA"/>
              </w:rPr>
              <w:t>p</w:t>
            </w:r>
            <w:r w:rsidRPr="00306F5A">
              <w:rPr>
                <w:rFonts w:ascii="Arial" w:hAnsi="Arial" w:cs="Arial"/>
                <w:lang w:bidi="ar-SA"/>
              </w:rPr>
              <w:t xml:space="preserve">aper - Fissile gram equivalent or plutonium gram </w:t>
            </w:r>
            <w:r w:rsidR="004A2647" w:rsidRPr="00306F5A">
              <w:rPr>
                <w:rFonts w:ascii="Arial" w:hAnsi="Arial" w:cs="Arial"/>
                <w:lang w:bidi="ar-SA"/>
              </w:rPr>
              <w:t>equivalent</w:t>
            </w:r>
            <w:r w:rsidRPr="00306F5A">
              <w:rPr>
                <w:rFonts w:ascii="Arial" w:hAnsi="Arial" w:cs="Arial"/>
                <w:lang w:bidi="ar-SA"/>
              </w:rPr>
              <w:t xml:space="preserve"> advantages and disadvantages.</w:t>
            </w:r>
          </w:p>
        </w:tc>
      </w:tr>
      <w:tr w:rsidR="00255E89" w:rsidRPr="00306F5A" w:rsidTr="00387DF7">
        <w:trPr>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Develop a </w:t>
            </w:r>
            <w:r w:rsidR="003237D5">
              <w:rPr>
                <w:rFonts w:ascii="Arial" w:hAnsi="Arial" w:cs="Arial"/>
                <w:b w:val="0"/>
                <w:lang w:bidi="ar-SA"/>
              </w:rPr>
              <w:t>G</w:t>
            </w:r>
            <w:r w:rsidRPr="00306F5A">
              <w:rPr>
                <w:rFonts w:ascii="Arial" w:hAnsi="Arial" w:cs="Arial"/>
                <w:b w:val="0"/>
                <w:lang w:bidi="ar-SA"/>
              </w:rPr>
              <w:t>uide for N&amp;FS on how to effectively share lessons learned across the complex, specifically how similar events could happen at other sites.</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Improved sharing of lessons learned to contractors across the DOE complex.  Knowledge Transfer</w:t>
            </w:r>
            <w:r w:rsidR="00C34E3E">
              <w:rPr>
                <w:rFonts w:ascii="Arial" w:hAnsi="Arial" w:cs="Arial"/>
                <w:lang w:bidi="ar-SA"/>
              </w:rPr>
              <w:t>.</w:t>
            </w:r>
          </w:p>
        </w:tc>
        <w:tc>
          <w:tcPr>
            <w:tcW w:w="1717" w:type="pct"/>
            <w:tcBorders>
              <w:left w:val="single" w:sz="8" w:space="0" w:color="4F81BD"/>
            </w:tcBorders>
          </w:tcPr>
          <w:p w:rsidR="00255E89" w:rsidRPr="00306F5A" w:rsidRDefault="00255E89" w:rsidP="004A2647">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Guide – Effective sharing of lessons learned.  </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C90319">
            <w:pPr>
              <w:jc w:val="left"/>
              <w:rPr>
                <w:rFonts w:ascii="Arial" w:hAnsi="Arial" w:cs="Arial"/>
                <w:b w:val="0"/>
                <w:lang w:bidi="ar-SA"/>
              </w:rPr>
            </w:pPr>
            <w:r w:rsidRPr="00306F5A">
              <w:rPr>
                <w:rFonts w:ascii="Arial" w:hAnsi="Arial" w:cs="Arial"/>
                <w:b w:val="0"/>
                <w:lang w:bidi="ar-SA"/>
              </w:rPr>
              <w:t xml:space="preserve">Develop a </w:t>
            </w:r>
            <w:r w:rsidR="00C34E3E">
              <w:rPr>
                <w:rFonts w:ascii="Arial" w:hAnsi="Arial" w:cs="Arial"/>
                <w:b w:val="0"/>
                <w:lang w:bidi="ar-SA"/>
              </w:rPr>
              <w:t>B</w:t>
            </w:r>
            <w:r w:rsidRPr="00306F5A">
              <w:rPr>
                <w:rFonts w:ascii="Arial" w:hAnsi="Arial" w:cs="Arial"/>
                <w:b w:val="0"/>
                <w:lang w:bidi="ar-SA"/>
              </w:rPr>
              <w:t xml:space="preserve">est </w:t>
            </w:r>
            <w:r w:rsidR="00C34E3E">
              <w:rPr>
                <w:rFonts w:ascii="Arial" w:hAnsi="Arial" w:cs="Arial"/>
                <w:b w:val="0"/>
                <w:lang w:bidi="ar-SA"/>
              </w:rPr>
              <w:t>P</w:t>
            </w:r>
            <w:r w:rsidRPr="00306F5A">
              <w:rPr>
                <w:rFonts w:ascii="Arial" w:hAnsi="Arial" w:cs="Arial"/>
                <w:b w:val="0"/>
                <w:lang w:bidi="ar-SA"/>
              </w:rPr>
              <w:t xml:space="preserve">ractice for correct level of treatment of criticality safety and controls in DSA and TSRs versus implementing as programmatic controls based on NNSA CTA position memo (15Jul19) on Considering D/EBE in CSEs per DOE O 420.1C, Chg. 2, </w:t>
            </w:r>
            <w:r w:rsidRPr="00306F5A">
              <w:rPr>
                <w:rFonts w:ascii="Arial" w:hAnsi="Arial" w:cs="Arial"/>
                <w:b w:val="0"/>
                <w:i/>
                <w:lang w:bidi="ar-SA"/>
              </w:rPr>
              <w:t>Facility Safety</w:t>
            </w:r>
            <w:r w:rsidRPr="00306F5A">
              <w:rPr>
                <w:rFonts w:ascii="Arial" w:hAnsi="Arial" w:cs="Arial"/>
                <w:b w:val="0"/>
                <w:lang w:bidi="ar-SA"/>
              </w:rPr>
              <w:t>, and EM CTA comment to EFCOG N&amp;FS Chair.</w:t>
            </w:r>
            <w:r w:rsidR="003237D5">
              <w:rPr>
                <w:rFonts w:ascii="Arial" w:hAnsi="Arial" w:cs="Arial"/>
                <w:b w:val="0"/>
                <w:lang w:bidi="ar-SA"/>
              </w:rPr>
              <w:t xml:space="preserve"> *</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Consistency across DOE complex in how criticality safety requirements are handled in the DSA, and in how the latest DOE guidance on the subject is implemented.</w:t>
            </w:r>
          </w:p>
        </w:tc>
        <w:tc>
          <w:tcPr>
            <w:tcW w:w="1717" w:type="pct"/>
            <w:tcBorders>
              <w:left w:val="single" w:sz="8" w:space="0" w:color="4F81BD"/>
            </w:tcBorders>
          </w:tcPr>
          <w:p w:rsidR="00255E89" w:rsidRPr="00306F5A" w:rsidRDefault="00254AFD" w:rsidP="00C9031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 Treatment of Criticality Safety and Controls in DSAs and TSRs versus Implementing as criticality program controls.  </w:t>
            </w:r>
            <w:r w:rsidR="003237D5">
              <w:rPr>
                <w:rFonts w:ascii="Arial" w:hAnsi="Arial" w:cs="Arial"/>
                <w:lang w:bidi="ar-SA"/>
              </w:rPr>
              <w:t>**</w:t>
            </w:r>
          </w:p>
        </w:tc>
      </w:tr>
      <w:tr w:rsidR="00255E89" w:rsidRPr="00306F5A" w:rsidTr="00387DF7">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C90319">
            <w:pPr>
              <w:jc w:val="left"/>
              <w:rPr>
                <w:rFonts w:ascii="Arial" w:hAnsi="Arial" w:cs="Arial"/>
                <w:b w:val="0"/>
                <w:lang w:bidi="ar-SA"/>
              </w:rPr>
            </w:pPr>
            <w:r w:rsidRPr="00306F5A">
              <w:rPr>
                <w:rFonts w:ascii="Arial" w:hAnsi="Arial" w:cs="Arial"/>
                <w:b w:val="0"/>
                <w:lang w:bidi="ar-SA"/>
              </w:rPr>
              <w:t xml:space="preserve">Develop a </w:t>
            </w:r>
            <w:r w:rsidR="00C34E3E">
              <w:rPr>
                <w:rFonts w:ascii="Arial" w:hAnsi="Arial" w:cs="Arial"/>
                <w:b w:val="0"/>
                <w:lang w:bidi="ar-SA"/>
              </w:rPr>
              <w:t>B</w:t>
            </w:r>
            <w:r w:rsidRPr="00306F5A">
              <w:rPr>
                <w:rFonts w:ascii="Arial" w:hAnsi="Arial" w:cs="Arial"/>
                <w:b w:val="0"/>
                <w:lang w:bidi="ar-SA"/>
              </w:rPr>
              <w:t xml:space="preserve">est </w:t>
            </w:r>
            <w:r w:rsidR="00C34E3E">
              <w:rPr>
                <w:rFonts w:ascii="Arial" w:hAnsi="Arial" w:cs="Arial"/>
                <w:b w:val="0"/>
                <w:lang w:bidi="ar-SA"/>
              </w:rPr>
              <w:t>P</w:t>
            </w:r>
            <w:r w:rsidRPr="00306F5A">
              <w:rPr>
                <w:rFonts w:ascii="Arial" w:hAnsi="Arial" w:cs="Arial"/>
                <w:b w:val="0"/>
                <w:lang w:bidi="ar-SA"/>
              </w:rPr>
              <w:t xml:space="preserve">ractice for consistent implementation following the cancellation of the standard DOE-STD-1158, </w:t>
            </w:r>
            <w:r w:rsidRPr="00306F5A">
              <w:rPr>
                <w:rFonts w:ascii="Arial" w:hAnsi="Arial" w:cs="Arial"/>
                <w:b w:val="0"/>
                <w:i/>
                <w:lang w:bidi="ar-SA"/>
              </w:rPr>
              <w:t>Self-Assessment Standard for DOE Contractor Criticality Safety Program</w:t>
            </w:r>
            <w:r w:rsidRPr="00306F5A">
              <w:rPr>
                <w:rFonts w:ascii="Arial" w:hAnsi="Arial" w:cs="Arial"/>
                <w:b w:val="0"/>
                <w:lang w:bidi="ar-SA"/>
              </w:rPr>
              <w:t>, using ANSI/ANS-8.19 as a guide.</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Provide criticality safety program assessment methods specific to the DOE complex.  Consistently applied methods across the contractor community in the DOE complex.</w:t>
            </w:r>
          </w:p>
        </w:tc>
        <w:tc>
          <w:tcPr>
            <w:tcW w:w="1717" w:type="pct"/>
            <w:tcBorders>
              <w:left w:val="single" w:sz="8" w:space="0" w:color="4F81BD"/>
            </w:tcBorders>
          </w:tcPr>
          <w:p w:rsidR="00255E89" w:rsidRPr="00306F5A" w:rsidRDefault="00254AFD" w:rsidP="00C9031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 Methods for Assessing DOE Contractor Criticality Safety Programs.</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AEEF3" w:themeFill="accent5" w:themeFillTint="33"/>
          </w:tcPr>
          <w:p w:rsidR="00255E89" w:rsidRPr="00306F5A" w:rsidRDefault="00255E89" w:rsidP="00255E89">
            <w:pPr>
              <w:jc w:val="left"/>
              <w:rPr>
                <w:rFonts w:ascii="Arial" w:hAnsi="Arial" w:cs="Arial"/>
                <w:b w:val="0"/>
                <w:lang w:bidi="ar-SA"/>
              </w:rPr>
            </w:pPr>
            <w:r w:rsidRPr="00306F5A">
              <w:rPr>
                <w:rFonts w:ascii="Arial" w:hAnsi="Arial" w:cs="Arial"/>
                <w:b w:val="0"/>
                <w:lang w:bidi="ar-SA"/>
              </w:rPr>
              <w:t>Early Career</w:t>
            </w:r>
          </w:p>
        </w:tc>
      </w:tr>
      <w:tr w:rsidR="00255E89" w:rsidRPr="00306F5A" w:rsidTr="00387DF7">
        <w:trPr>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Develop a guide for formal mentoring programs.</w:t>
            </w:r>
            <w:r w:rsidR="003237D5">
              <w:rPr>
                <w:rFonts w:ascii="Arial" w:hAnsi="Arial" w:cs="Arial"/>
                <w:b w:val="0"/>
                <w:lang w:bidi="ar-SA"/>
              </w:rPr>
              <w:t xml:space="preserve"> **</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Allow early career nuclear safety professional access to senior nuclear safety professionals.</w:t>
            </w:r>
          </w:p>
        </w:tc>
        <w:tc>
          <w:tcPr>
            <w:tcW w:w="1717" w:type="pct"/>
            <w:tcBorders>
              <w:left w:val="single" w:sz="8" w:space="0" w:color="4F81BD"/>
            </w:tcBorders>
          </w:tcPr>
          <w:p w:rsidR="00255E89" w:rsidRPr="00306F5A" w:rsidRDefault="00255E89" w:rsidP="000B5191">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Guide – N&amp;FS Early Car</w:t>
            </w:r>
            <w:r w:rsidR="000B5191" w:rsidRPr="00306F5A">
              <w:rPr>
                <w:rFonts w:ascii="Arial" w:hAnsi="Arial" w:cs="Arial"/>
                <w:lang w:bidi="ar-SA"/>
              </w:rPr>
              <w:t>eer Mentoring Program. **</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cantSplit/>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lang w:bidi="ar-SA"/>
              </w:rPr>
            </w:pPr>
            <w:r w:rsidRPr="00306F5A">
              <w:rPr>
                <w:rFonts w:ascii="Arial" w:hAnsi="Arial" w:cs="Arial"/>
                <w:b w:val="0"/>
                <w:lang w:bidi="ar-SA"/>
              </w:rPr>
              <w:t>Complete fundamentals papers  (Regulations, Hazard and Accident Analysis, Consequence Analysis, Control Selection, TSRs, USQs)</w:t>
            </w:r>
            <w:r w:rsidR="003237D5">
              <w:rPr>
                <w:rFonts w:ascii="Arial" w:hAnsi="Arial" w:cs="Arial"/>
                <w:b w:val="0"/>
                <w:lang w:bidi="ar-SA"/>
              </w:rPr>
              <w:t xml:space="preserve">  **</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Improvements to initial training for early career professionals across the DOE complex.  Knowledge Transfer</w:t>
            </w:r>
          </w:p>
        </w:tc>
        <w:tc>
          <w:tcPr>
            <w:tcW w:w="1717" w:type="pct"/>
            <w:tcBorders>
              <w:left w:val="single" w:sz="8" w:space="0" w:color="4F81BD"/>
            </w:tcBorders>
          </w:tcPr>
          <w:p w:rsidR="00255E89" w:rsidRPr="00306F5A" w:rsidRDefault="00255E89" w:rsidP="000B5191">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Complete 5 fundamental papers (topics in activity).</w:t>
            </w:r>
            <w:r w:rsidR="000B5191" w:rsidRPr="00306F5A">
              <w:rPr>
                <w:rFonts w:ascii="Arial" w:hAnsi="Arial" w:cs="Arial"/>
                <w:lang w:bidi="ar-SA"/>
              </w:rPr>
              <w:t>**</w:t>
            </w:r>
          </w:p>
        </w:tc>
      </w:tr>
      <w:tr w:rsidR="00255E89" w:rsidRPr="00306F5A" w:rsidTr="00387DF7">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C90319">
            <w:pPr>
              <w:jc w:val="left"/>
              <w:rPr>
                <w:rFonts w:ascii="Arial" w:hAnsi="Arial" w:cs="Arial"/>
                <w:b w:val="0"/>
                <w:lang w:bidi="ar-SA"/>
              </w:rPr>
            </w:pPr>
            <w:r w:rsidRPr="00306F5A">
              <w:rPr>
                <w:rFonts w:ascii="Arial" w:hAnsi="Arial" w:cs="Arial"/>
                <w:b w:val="0"/>
                <w:lang w:bidi="ar-SA"/>
              </w:rPr>
              <w:t xml:space="preserve">Complete a </w:t>
            </w:r>
            <w:r w:rsidR="00C34E3E">
              <w:rPr>
                <w:rFonts w:ascii="Arial" w:hAnsi="Arial" w:cs="Arial"/>
                <w:b w:val="0"/>
                <w:lang w:bidi="ar-SA"/>
              </w:rPr>
              <w:t>B</w:t>
            </w:r>
            <w:r w:rsidRPr="00306F5A">
              <w:rPr>
                <w:rFonts w:ascii="Arial" w:hAnsi="Arial" w:cs="Arial"/>
                <w:b w:val="0"/>
                <w:lang w:bidi="ar-SA"/>
              </w:rPr>
              <w:t xml:space="preserve">est </w:t>
            </w:r>
            <w:r w:rsidR="00C34E3E">
              <w:rPr>
                <w:rFonts w:ascii="Arial" w:hAnsi="Arial" w:cs="Arial"/>
                <w:b w:val="0"/>
                <w:lang w:bidi="ar-SA"/>
              </w:rPr>
              <w:t>P</w:t>
            </w:r>
            <w:r w:rsidRPr="00306F5A">
              <w:rPr>
                <w:rFonts w:ascii="Arial" w:hAnsi="Arial" w:cs="Arial"/>
                <w:b w:val="0"/>
                <w:lang w:bidi="ar-SA"/>
              </w:rPr>
              <w:t>ractice on early career rotation programs based on programs at various DOE sites and facilities</w:t>
            </w:r>
            <w:r w:rsidR="003237D5">
              <w:rPr>
                <w:rFonts w:ascii="Arial" w:hAnsi="Arial" w:cs="Arial"/>
                <w:b w:val="0"/>
                <w:lang w:bidi="ar-SA"/>
              </w:rPr>
              <w:t xml:space="preserve">  **</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Provide a path and method for Early Career Nuclear Safety professionals with opportunities to experience and have exposure to different positions within the site or facility structure.</w:t>
            </w:r>
          </w:p>
        </w:tc>
        <w:tc>
          <w:tcPr>
            <w:tcW w:w="1717" w:type="pct"/>
            <w:tcBorders>
              <w:left w:val="single" w:sz="8" w:space="0" w:color="4F81BD"/>
            </w:tcBorders>
          </w:tcPr>
          <w:p w:rsidR="00255E89" w:rsidRPr="00306F5A" w:rsidRDefault="00254AFD" w:rsidP="00C9031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 Job Rotation Programs at various contractors and DOE across the DOE complex.</w:t>
            </w:r>
            <w:r w:rsidR="000B5191" w:rsidRPr="00306F5A">
              <w:rPr>
                <w:rFonts w:ascii="Arial" w:hAnsi="Arial" w:cs="Arial"/>
                <w:lang w:bidi="ar-SA"/>
              </w:rPr>
              <w:t>**</w:t>
            </w:r>
            <w:r w:rsidR="00255E89" w:rsidRPr="00306F5A">
              <w:rPr>
                <w:rFonts w:ascii="Arial" w:hAnsi="Arial" w:cs="Arial"/>
                <w:lang w:bidi="ar-SA"/>
              </w:rPr>
              <w:t xml:space="preserve">  </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AEEF3" w:themeFill="accent5" w:themeFillTint="33"/>
          </w:tcPr>
          <w:p w:rsidR="00255E89" w:rsidRPr="00306F5A" w:rsidRDefault="00255E89" w:rsidP="00255E89">
            <w:pPr>
              <w:jc w:val="left"/>
              <w:rPr>
                <w:rFonts w:ascii="Arial" w:hAnsi="Arial" w:cs="Arial"/>
                <w:b w:val="0"/>
                <w:lang w:bidi="ar-SA"/>
              </w:rPr>
            </w:pPr>
            <w:r w:rsidRPr="00306F5A">
              <w:rPr>
                <w:rFonts w:ascii="Arial" w:hAnsi="Arial" w:cs="Arial"/>
                <w:b w:val="0"/>
                <w:lang w:bidi="ar-SA"/>
              </w:rPr>
              <w:t>Hazard Analysis</w:t>
            </w:r>
          </w:p>
        </w:tc>
      </w:tr>
      <w:tr w:rsidR="00255E89" w:rsidRPr="00306F5A" w:rsidTr="00387DF7">
        <w:trPr>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C90319">
            <w:pPr>
              <w:jc w:val="left"/>
              <w:rPr>
                <w:rFonts w:ascii="Arial" w:hAnsi="Arial" w:cs="Arial"/>
                <w:b w:val="0"/>
                <w:lang w:bidi="ar-SA"/>
              </w:rPr>
            </w:pPr>
            <w:r w:rsidRPr="00306F5A">
              <w:rPr>
                <w:rFonts w:ascii="Arial" w:hAnsi="Arial" w:cs="Arial"/>
                <w:b w:val="0"/>
                <w:lang w:bidi="ar-SA"/>
              </w:rPr>
              <w:t xml:space="preserve">Produce a </w:t>
            </w:r>
            <w:r w:rsidR="00C34E3E">
              <w:rPr>
                <w:rFonts w:ascii="Arial" w:hAnsi="Arial" w:cs="Arial"/>
                <w:b w:val="0"/>
                <w:lang w:bidi="ar-SA"/>
              </w:rPr>
              <w:t>B</w:t>
            </w:r>
            <w:r w:rsidRPr="00306F5A">
              <w:rPr>
                <w:rFonts w:ascii="Arial" w:hAnsi="Arial" w:cs="Arial"/>
                <w:b w:val="0"/>
                <w:lang w:bidi="ar-SA"/>
              </w:rPr>
              <w:t xml:space="preserve">est </w:t>
            </w:r>
            <w:r w:rsidR="00C34E3E">
              <w:rPr>
                <w:rFonts w:ascii="Arial" w:hAnsi="Arial" w:cs="Arial"/>
                <w:b w:val="0"/>
                <w:lang w:bidi="ar-SA"/>
              </w:rPr>
              <w:t>P</w:t>
            </w:r>
            <w:r w:rsidRPr="00306F5A">
              <w:rPr>
                <w:rFonts w:ascii="Arial" w:hAnsi="Arial" w:cs="Arial"/>
                <w:b w:val="0"/>
                <w:lang w:bidi="ar-SA"/>
              </w:rPr>
              <w:t>ractice on the correct level of treatment of chemical hazards in the DSA and TSRs versus 10 CFR 851 programs (partnered with other Safety Working Group subgroups and task teams).</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Consistent handling of chemical hazards in the facility safety basis across the DOE complex.</w:t>
            </w:r>
          </w:p>
        </w:tc>
        <w:tc>
          <w:tcPr>
            <w:tcW w:w="1717" w:type="pct"/>
            <w:tcBorders>
              <w:left w:val="single" w:sz="8" w:space="0" w:color="4F81BD"/>
            </w:tcBorders>
          </w:tcPr>
          <w:p w:rsidR="00255E89" w:rsidRPr="00306F5A" w:rsidRDefault="00254AFD" w:rsidP="00C9031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 Correct level of treatment of chemical hazards in the DSA and TSRs versus 10 CFR 851</w:t>
            </w:r>
            <w:r w:rsidR="000B5191" w:rsidRPr="00306F5A">
              <w:rPr>
                <w:rFonts w:ascii="Arial" w:hAnsi="Arial" w:cs="Arial"/>
                <w:lang w:bidi="ar-SA"/>
              </w:rPr>
              <w:t xml:space="preserve"> programs</w:t>
            </w:r>
            <w:r w:rsidR="00255E89" w:rsidRPr="00306F5A">
              <w:rPr>
                <w:rFonts w:ascii="Arial" w:hAnsi="Arial" w:cs="Arial"/>
                <w:lang w:bidi="ar-SA"/>
              </w:rPr>
              <w:t>.</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3237D5">
            <w:pPr>
              <w:jc w:val="left"/>
              <w:rPr>
                <w:rFonts w:ascii="Arial" w:hAnsi="Arial" w:cs="Arial"/>
                <w:b w:val="0"/>
                <w:lang w:bidi="ar-SA"/>
              </w:rPr>
            </w:pPr>
            <w:r w:rsidRPr="00306F5A">
              <w:rPr>
                <w:rFonts w:ascii="Arial" w:hAnsi="Arial" w:cs="Arial"/>
                <w:b w:val="0"/>
                <w:lang w:bidi="ar-SA"/>
              </w:rPr>
              <w:t>White</w:t>
            </w:r>
            <w:r w:rsidR="003237D5">
              <w:rPr>
                <w:rFonts w:ascii="Arial" w:hAnsi="Arial" w:cs="Arial"/>
                <w:b w:val="0"/>
                <w:lang w:bidi="ar-SA"/>
              </w:rPr>
              <w:t xml:space="preserve"> P</w:t>
            </w:r>
            <w:r w:rsidRPr="00306F5A">
              <w:rPr>
                <w:rFonts w:ascii="Arial" w:hAnsi="Arial" w:cs="Arial"/>
                <w:b w:val="0"/>
                <w:lang w:bidi="ar-SA"/>
              </w:rPr>
              <w:t xml:space="preserve">aper on various terms used by criticality </w:t>
            </w:r>
            <w:r w:rsidR="00C34E3E">
              <w:rPr>
                <w:rFonts w:ascii="Arial" w:hAnsi="Arial" w:cs="Arial"/>
                <w:b w:val="0"/>
                <w:lang w:bidi="ar-SA"/>
              </w:rPr>
              <w:t xml:space="preserve">safety </w:t>
            </w:r>
            <w:r w:rsidRPr="00306F5A">
              <w:rPr>
                <w:rFonts w:ascii="Arial" w:hAnsi="Arial" w:cs="Arial"/>
                <w:b w:val="0"/>
                <w:lang w:bidi="ar-SA"/>
              </w:rPr>
              <w:t>and others (e.g., RadCon, EP, NS, IH, Transportation)</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Better clarity in terminology across disciplines, particularly in identifying where the same terms are used with different intended meanings.</w:t>
            </w:r>
          </w:p>
        </w:tc>
        <w:tc>
          <w:tcPr>
            <w:tcW w:w="1717" w:type="pct"/>
            <w:tcBorders>
              <w:left w:val="single" w:sz="8" w:space="0" w:color="4F81BD"/>
            </w:tcBorders>
          </w:tcPr>
          <w:p w:rsidR="00255E89" w:rsidRPr="00306F5A" w:rsidRDefault="00255E89" w:rsidP="003237D5">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White</w:t>
            </w:r>
            <w:r w:rsidR="003237D5">
              <w:rPr>
                <w:rFonts w:ascii="Arial" w:hAnsi="Arial" w:cs="Arial"/>
                <w:lang w:bidi="ar-SA"/>
              </w:rPr>
              <w:t xml:space="preserve"> P</w:t>
            </w:r>
            <w:r w:rsidRPr="00306F5A">
              <w:rPr>
                <w:rFonts w:ascii="Arial" w:hAnsi="Arial" w:cs="Arial"/>
                <w:lang w:bidi="ar-SA"/>
              </w:rPr>
              <w:t xml:space="preserve">aper – Explanation of Terminology used by </w:t>
            </w:r>
            <w:r w:rsidR="00C34E3E">
              <w:rPr>
                <w:rFonts w:ascii="Arial" w:hAnsi="Arial" w:cs="Arial"/>
                <w:lang w:bidi="ar-SA"/>
              </w:rPr>
              <w:t>c</w:t>
            </w:r>
            <w:r w:rsidRPr="00306F5A">
              <w:rPr>
                <w:rFonts w:ascii="Arial" w:hAnsi="Arial" w:cs="Arial"/>
                <w:lang w:bidi="ar-SA"/>
              </w:rPr>
              <w:t xml:space="preserve">riticality </w:t>
            </w:r>
            <w:r w:rsidR="00C34E3E">
              <w:rPr>
                <w:rFonts w:ascii="Arial" w:hAnsi="Arial" w:cs="Arial"/>
                <w:lang w:bidi="ar-SA"/>
              </w:rPr>
              <w:t xml:space="preserve">safety </w:t>
            </w:r>
            <w:r w:rsidRPr="00306F5A">
              <w:rPr>
                <w:rFonts w:ascii="Arial" w:hAnsi="Arial" w:cs="Arial"/>
                <w:lang w:bidi="ar-SA"/>
              </w:rPr>
              <w:t>and differently by others.</w:t>
            </w:r>
          </w:p>
        </w:tc>
      </w:tr>
      <w:tr w:rsidR="00255E89" w:rsidRPr="00306F5A" w:rsidTr="00387DF7">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Best </w:t>
            </w:r>
            <w:r w:rsidR="00C34E3E">
              <w:rPr>
                <w:rFonts w:ascii="Arial" w:hAnsi="Arial" w:cs="Arial"/>
                <w:b w:val="0"/>
                <w:lang w:bidi="ar-SA"/>
              </w:rPr>
              <w:t>P</w:t>
            </w:r>
            <w:r w:rsidRPr="00306F5A">
              <w:rPr>
                <w:rFonts w:ascii="Arial" w:hAnsi="Arial" w:cs="Arial"/>
                <w:b w:val="0"/>
                <w:lang w:bidi="ar-SA"/>
              </w:rPr>
              <w:t>ractice for management and control of less than HC-3 Nuclear Facilities</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Analysis, Documentation, and Controls Methods to avoid having less than HC-3 Nuclear Facilities become HC-3 unexpectedly.  </w:t>
            </w:r>
          </w:p>
        </w:tc>
        <w:tc>
          <w:tcPr>
            <w:tcW w:w="1717" w:type="pct"/>
            <w:tcBorders>
              <w:left w:val="single" w:sz="8" w:space="0" w:color="4F81BD"/>
            </w:tcBorders>
          </w:tcPr>
          <w:p w:rsidR="00255E89" w:rsidRPr="00306F5A" w:rsidRDefault="00254AFD" w:rsidP="000B5191">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 Management and control of less than HC-3 Nuclear Facilities.</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AEEF3" w:themeFill="accent5" w:themeFillTint="33"/>
          </w:tcPr>
          <w:p w:rsidR="00255E89" w:rsidRPr="00306F5A" w:rsidRDefault="00255E89" w:rsidP="00255E89">
            <w:pPr>
              <w:jc w:val="left"/>
              <w:rPr>
                <w:rFonts w:ascii="Arial" w:hAnsi="Arial" w:cs="Arial"/>
                <w:b w:val="0"/>
                <w:lang w:bidi="ar-SA"/>
              </w:rPr>
            </w:pPr>
            <w:r w:rsidRPr="00306F5A">
              <w:rPr>
                <w:rFonts w:ascii="Arial" w:hAnsi="Arial" w:cs="Arial"/>
                <w:b w:val="0"/>
                <w:lang w:bidi="ar-SA"/>
              </w:rPr>
              <w:t>Safety Basis</w:t>
            </w:r>
          </w:p>
        </w:tc>
      </w:tr>
      <w:tr w:rsidR="00255E89" w:rsidRPr="00306F5A" w:rsidTr="00387DF7">
        <w:trPr>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Write </w:t>
            </w:r>
            <w:r w:rsidR="00C34E3E">
              <w:rPr>
                <w:rFonts w:ascii="Arial" w:hAnsi="Arial" w:cs="Arial"/>
                <w:b w:val="0"/>
                <w:lang w:bidi="ar-SA"/>
              </w:rPr>
              <w:t>G</w:t>
            </w:r>
            <w:r w:rsidRPr="00306F5A">
              <w:rPr>
                <w:rFonts w:ascii="Arial" w:hAnsi="Arial" w:cs="Arial"/>
                <w:b w:val="0"/>
                <w:lang w:bidi="ar-SA"/>
              </w:rPr>
              <w:t>uide on revised DSA annual update frequency implementation following the 10 CFR 830 rule change to DSA annual update requirements.</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Consistency across DOE complex for the implementation of changes to DSA annual update requirements with upcoming changes to 10 CFR 830.</w:t>
            </w:r>
          </w:p>
        </w:tc>
        <w:tc>
          <w:tcPr>
            <w:tcW w:w="1717" w:type="pct"/>
            <w:tcBorders>
              <w:left w:val="single" w:sz="8" w:space="0" w:color="4F81BD"/>
            </w:tcBorders>
          </w:tcPr>
          <w:p w:rsidR="00255E89" w:rsidRPr="00306F5A" w:rsidRDefault="00255E89" w:rsidP="000B5191">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Guide – Implementation of revised DSA annual update frequency.  During 10 CFR 830 rule change implementation period.</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Write </w:t>
            </w:r>
            <w:r w:rsidR="00C34E3E">
              <w:rPr>
                <w:rFonts w:ascii="Arial" w:hAnsi="Arial" w:cs="Arial"/>
                <w:b w:val="0"/>
                <w:lang w:bidi="ar-SA"/>
              </w:rPr>
              <w:t>G</w:t>
            </w:r>
            <w:r w:rsidRPr="00306F5A">
              <w:rPr>
                <w:rFonts w:ascii="Arial" w:hAnsi="Arial" w:cs="Arial"/>
                <w:b w:val="0"/>
                <w:lang w:bidi="ar-SA"/>
              </w:rPr>
              <w:t xml:space="preserve">uide on when facilities should upgrade to the new revisions of DOE-STD-1027, </w:t>
            </w:r>
            <w:r w:rsidRPr="00306F5A">
              <w:rPr>
                <w:rFonts w:ascii="Arial" w:hAnsi="Arial" w:cs="Arial"/>
                <w:b w:val="0"/>
                <w:i/>
                <w:lang w:bidi="ar-SA"/>
              </w:rPr>
              <w:t>Hazard Categorization of DOE Nuclear Facilities.</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Provide Guidance and consistency across DOE complex for the adoption of updated hazard categorization standards.</w:t>
            </w:r>
          </w:p>
        </w:tc>
        <w:tc>
          <w:tcPr>
            <w:tcW w:w="1717" w:type="pct"/>
            <w:tcBorders>
              <w:left w:val="single" w:sz="8" w:space="0" w:color="4F81BD"/>
            </w:tcBorders>
          </w:tcPr>
          <w:p w:rsidR="00255E89" w:rsidRPr="00306F5A" w:rsidRDefault="00255E89" w:rsidP="000B5191">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Guide – Considerations and guidance on when to implement the upgraded DOE-STD-1027.  During 10 CFR 830 ru</w:t>
            </w:r>
            <w:r w:rsidR="000B5191" w:rsidRPr="00306F5A">
              <w:rPr>
                <w:rFonts w:ascii="Arial" w:hAnsi="Arial" w:cs="Arial"/>
                <w:lang w:bidi="ar-SA"/>
              </w:rPr>
              <w:t>le change implementation period</w:t>
            </w:r>
            <w:r w:rsidRPr="00306F5A">
              <w:rPr>
                <w:rFonts w:ascii="Arial" w:hAnsi="Arial" w:cs="Arial"/>
                <w:lang w:bidi="ar-SA"/>
              </w:rPr>
              <w:t>.</w:t>
            </w:r>
          </w:p>
        </w:tc>
      </w:tr>
      <w:tr w:rsidR="00255E89" w:rsidRPr="00306F5A" w:rsidTr="00387DF7">
        <w:trPr>
          <w:cantSplit/>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3237D5">
            <w:pPr>
              <w:jc w:val="left"/>
              <w:rPr>
                <w:rFonts w:ascii="Arial" w:hAnsi="Arial" w:cs="Arial"/>
                <w:b w:val="0"/>
                <w:lang w:bidi="ar-SA"/>
              </w:rPr>
            </w:pPr>
            <w:r w:rsidRPr="00306F5A">
              <w:rPr>
                <w:rFonts w:ascii="Arial" w:hAnsi="Arial" w:cs="Arial"/>
                <w:b w:val="0"/>
                <w:lang w:bidi="ar-SA"/>
              </w:rPr>
              <w:t xml:space="preserve">Produce a </w:t>
            </w:r>
            <w:r w:rsidR="003237D5">
              <w:rPr>
                <w:rFonts w:ascii="Arial" w:hAnsi="Arial" w:cs="Arial"/>
                <w:b w:val="0"/>
                <w:lang w:bidi="ar-SA"/>
              </w:rPr>
              <w:t>W</w:t>
            </w:r>
            <w:r w:rsidRPr="00306F5A">
              <w:rPr>
                <w:rFonts w:ascii="Arial" w:hAnsi="Arial" w:cs="Arial"/>
                <w:b w:val="0"/>
                <w:lang w:bidi="ar-SA"/>
              </w:rPr>
              <w:t xml:space="preserve">hite </w:t>
            </w:r>
            <w:r w:rsidR="003237D5">
              <w:rPr>
                <w:rFonts w:ascii="Arial" w:hAnsi="Arial" w:cs="Arial"/>
                <w:b w:val="0"/>
                <w:lang w:bidi="ar-SA"/>
              </w:rPr>
              <w:t>P</w:t>
            </w:r>
            <w:r w:rsidRPr="00306F5A">
              <w:rPr>
                <w:rFonts w:ascii="Arial" w:hAnsi="Arial" w:cs="Arial"/>
                <w:b w:val="0"/>
                <w:lang w:bidi="ar-SA"/>
              </w:rPr>
              <w:t xml:space="preserve">aper on the Safety Basis portion of DOE-HDBK-1230-2019, </w:t>
            </w:r>
            <w:r w:rsidRPr="00306F5A">
              <w:rPr>
                <w:rFonts w:ascii="Arial" w:hAnsi="Arial" w:cs="Arial"/>
                <w:b w:val="0"/>
                <w:i/>
                <w:lang w:bidi="ar-SA"/>
              </w:rPr>
              <w:t xml:space="preserve">Commercial Grade Dedication Application </w:t>
            </w:r>
            <w:r w:rsidR="00E65FCC" w:rsidRPr="00306F5A">
              <w:rPr>
                <w:rFonts w:ascii="Arial" w:hAnsi="Arial" w:cs="Arial"/>
                <w:b w:val="0"/>
                <w:i/>
                <w:lang w:bidi="ar-SA"/>
              </w:rPr>
              <w:t>Handbook</w:t>
            </w:r>
            <w:r w:rsidR="00E65FCC" w:rsidRPr="00306F5A">
              <w:rPr>
                <w:rFonts w:ascii="Arial" w:hAnsi="Arial" w:cs="Arial"/>
                <w:b w:val="0"/>
                <w:lang w:bidi="ar-SA"/>
              </w:rPr>
              <w:t>, which</w:t>
            </w:r>
            <w:r w:rsidRPr="00306F5A">
              <w:rPr>
                <w:rFonts w:ascii="Arial" w:hAnsi="Arial" w:cs="Arial"/>
                <w:b w:val="0"/>
                <w:lang w:bidi="ar-SA"/>
              </w:rPr>
              <w:t xml:space="preserve"> will support EFCOG Engineering Practices and QA on revisions to the handbook. </w:t>
            </w:r>
          </w:p>
        </w:tc>
        <w:tc>
          <w:tcPr>
            <w:tcW w:w="1928" w:type="pct"/>
            <w:gridSpan w:val="3"/>
            <w:tcBorders>
              <w:left w:val="single" w:sz="8" w:space="0" w:color="4F81BD"/>
              <w:right w:val="single" w:sz="8" w:space="0" w:color="4F81BD"/>
            </w:tcBorders>
          </w:tcPr>
          <w:p w:rsidR="00255E89" w:rsidRPr="00306F5A" w:rsidRDefault="00255E89" w:rsidP="00E65FCC">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Improved communication between EFCOG working groups, leading to revisions </w:t>
            </w:r>
            <w:r w:rsidR="00E65FCC" w:rsidRPr="00306F5A">
              <w:rPr>
                <w:rFonts w:ascii="Arial" w:hAnsi="Arial" w:cs="Arial"/>
                <w:lang w:bidi="ar-SA"/>
              </w:rPr>
              <w:t xml:space="preserve">that </w:t>
            </w:r>
            <w:r w:rsidRPr="00306F5A">
              <w:rPr>
                <w:rFonts w:ascii="Arial" w:hAnsi="Arial" w:cs="Arial"/>
                <w:lang w:bidi="ar-SA"/>
              </w:rPr>
              <w:t xml:space="preserve">meet the needs of all disciplines. </w:t>
            </w:r>
          </w:p>
        </w:tc>
        <w:tc>
          <w:tcPr>
            <w:tcW w:w="1717" w:type="pct"/>
            <w:tcBorders>
              <w:left w:val="single" w:sz="8" w:space="0" w:color="4F81BD"/>
            </w:tcBorders>
          </w:tcPr>
          <w:p w:rsidR="00255E89" w:rsidRPr="00306F5A" w:rsidRDefault="00255E89" w:rsidP="003237D5">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White Paper – Developing Safety Functions, Functional Requirements, and Performance Criteria with Commercial Grade Dedication in mind.  </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 xml:space="preserve">Complete the following </w:t>
            </w:r>
            <w:r w:rsidR="00254AFD">
              <w:rPr>
                <w:rFonts w:ascii="Arial" w:hAnsi="Arial" w:cs="Arial"/>
                <w:b w:val="0"/>
                <w:lang w:bidi="ar-SA"/>
              </w:rPr>
              <w:t>Best Practice</w:t>
            </w:r>
            <w:r w:rsidR="00C34E3E">
              <w:rPr>
                <w:rFonts w:ascii="Arial" w:hAnsi="Arial" w:cs="Arial"/>
                <w:b w:val="0"/>
                <w:lang w:bidi="ar-SA"/>
              </w:rPr>
              <w:t>s</w:t>
            </w:r>
            <w:r w:rsidRPr="00306F5A">
              <w:rPr>
                <w:rFonts w:ascii="Arial" w:hAnsi="Arial" w:cs="Arial"/>
                <w:b w:val="0"/>
                <w:lang w:bidi="ar-SA"/>
              </w:rPr>
              <w:t>:</w:t>
            </w:r>
          </w:p>
          <w:p w:rsidR="00255E89" w:rsidRPr="00306F5A" w:rsidRDefault="00255E89" w:rsidP="00255E89">
            <w:pPr>
              <w:pStyle w:val="ListParagraph"/>
              <w:numPr>
                <w:ilvl w:val="0"/>
                <w:numId w:val="16"/>
              </w:numPr>
              <w:ind w:left="152" w:hanging="180"/>
              <w:jc w:val="left"/>
              <w:rPr>
                <w:rFonts w:ascii="Arial" w:hAnsi="Arial" w:cs="Arial"/>
                <w:b w:val="0"/>
                <w:lang w:bidi="ar-SA"/>
              </w:rPr>
            </w:pPr>
            <w:r w:rsidRPr="00306F5A">
              <w:rPr>
                <w:rFonts w:ascii="Arial" w:hAnsi="Arial" w:cs="Arial"/>
                <w:b w:val="0"/>
                <w:lang w:bidi="ar-SA"/>
              </w:rPr>
              <w:t xml:space="preserve">DSA Review Guidance </w:t>
            </w:r>
          </w:p>
          <w:p w:rsidR="00255E89" w:rsidRPr="00306F5A" w:rsidRDefault="00255E89" w:rsidP="00255E89">
            <w:pPr>
              <w:pStyle w:val="ListParagraph"/>
              <w:numPr>
                <w:ilvl w:val="0"/>
                <w:numId w:val="16"/>
              </w:numPr>
              <w:ind w:left="152" w:hanging="180"/>
              <w:jc w:val="left"/>
              <w:rPr>
                <w:rFonts w:ascii="Arial" w:hAnsi="Arial" w:cs="Arial"/>
                <w:b w:val="0"/>
                <w:lang w:bidi="ar-SA"/>
              </w:rPr>
            </w:pPr>
            <w:r w:rsidRPr="00306F5A">
              <w:rPr>
                <w:rFonts w:ascii="Arial" w:hAnsi="Arial" w:cs="Arial"/>
                <w:b w:val="0"/>
                <w:lang w:bidi="ar-SA"/>
              </w:rPr>
              <w:t>Process Safety Review Board</w:t>
            </w:r>
          </w:p>
          <w:p w:rsidR="00255E89" w:rsidRPr="00306F5A" w:rsidRDefault="00255E89" w:rsidP="00255E89">
            <w:pPr>
              <w:pStyle w:val="ListParagraph"/>
              <w:numPr>
                <w:ilvl w:val="0"/>
                <w:numId w:val="16"/>
              </w:numPr>
              <w:ind w:left="152" w:hanging="180"/>
              <w:jc w:val="left"/>
              <w:rPr>
                <w:rFonts w:ascii="Arial" w:hAnsi="Arial" w:cs="Arial"/>
                <w:b w:val="0"/>
                <w:lang w:bidi="ar-SA"/>
              </w:rPr>
            </w:pPr>
            <w:r w:rsidRPr="00306F5A">
              <w:rPr>
                <w:rFonts w:ascii="Arial" w:hAnsi="Arial" w:cs="Arial"/>
                <w:b w:val="0"/>
                <w:lang w:bidi="ar-SA"/>
              </w:rPr>
              <w:t>Moisture/Humidity Levels for Fires</w:t>
            </w:r>
          </w:p>
          <w:p w:rsidR="00255E89" w:rsidRPr="00306F5A" w:rsidRDefault="00255E89" w:rsidP="00255E89">
            <w:pPr>
              <w:pStyle w:val="ListParagraph"/>
              <w:numPr>
                <w:ilvl w:val="0"/>
                <w:numId w:val="16"/>
              </w:numPr>
              <w:ind w:left="152" w:hanging="180"/>
              <w:jc w:val="left"/>
              <w:rPr>
                <w:rFonts w:ascii="Arial" w:hAnsi="Arial" w:cs="Arial"/>
                <w:lang w:bidi="ar-SA"/>
              </w:rPr>
            </w:pPr>
            <w:r w:rsidRPr="00306F5A">
              <w:rPr>
                <w:rFonts w:ascii="Arial" w:hAnsi="Arial" w:cs="Arial"/>
                <w:b w:val="0"/>
                <w:lang w:bidi="ar-SA"/>
              </w:rPr>
              <w:t>Qualification Cards for Safety Analysts</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Consistency in safety basis analysis and program implementation across the DOE complex.</w:t>
            </w:r>
          </w:p>
        </w:tc>
        <w:tc>
          <w:tcPr>
            <w:tcW w:w="1717" w:type="pct"/>
            <w:tcBorders>
              <w:left w:val="single" w:sz="8" w:space="0" w:color="4F81BD"/>
            </w:tcBorders>
          </w:tcPr>
          <w:p w:rsidR="00255E89" w:rsidRPr="00306F5A" w:rsidRDefault="00254AFD"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Pr>
                <w:rFonts w:ascii="Arial" w:hAnsi="Arial" w:cs="Arial"/>
                <w:lang w:bidi="ar-SA"/>
              </w:rPr>
              <w:t>Best Practice</w:t>
            </w:r>
            <w:r w:rsidR="00C34E3E">
              <w:rPr>
                <w:rFonts w:ascii="Arial" w:hAnsi="Arial" w:cs="Arial"/>
                <w:lang w:bidi="ar-SA"/>
              </w:rPr>
              <w:t>s</w:t>
            </w:r>
            <w:r w:rsidR="00255E89" w:rsidRPr="00306F5A">
              <w:rPr>
                <w:rFonts w:ascii="Arial" w:hAnsi="Arial" w:cs="Arial"/>
                <w:lang w:bidi="ar-SA"/>
              </w:rPr>
              <w:t xml:space="preserve"> on the following topics</w:t>
            </w:r>
          </w:p>
          <w:p w:rsidR="00255E89" w:rsidRPr="00306F5A" w:rsidRDefault="00255E89" w:rsidP="00255E89">
            <w:pPr>
              <w:pStyle w:val="ListParagraph"/>
              <w:numPr>
                <w:ilvl w:val="0"/>
                <w:numId w:val="16"/>
              </w:numPr>
              <w:ind w:left="152" w:hanging="180"/>
              <w:jc w:val="left"/>
              <w:cnfStyle w:val="000000100000" w:firstRow="0" w:lastRow="0" w:firstColumn="0" w:lastColumn="0" w:oddVBand="0" w:evenVBand="0" w:oddHBand="1" w:evenHBand="0" w:firstRowFirstColumn="0" w:firstRowLastColumn="0" w:lastRowFirstColumn="0" w:lastRowLastColumn="0"/>
              <w:rPr>
                <w:rFonts w:ascii="Arial" w:hAnsi="Arial" w:cs="Arial"/>
                <w:b/>
                <w:lang w:bidi="ar-SA"/>
              </w:rPr>
            </w:pPr>
            <w:r w:rsidRPr="00306F5A">
              <w:rPr>
                <w:rFonts w:ascii="Arial" w:hAnsi="Arial" w:cs="Arial"/>
                <w:lang w:bidi="ar-SA"/>
              </w:rPr>
              <w:t xml:space="preserve">DSA Review Guidance </w:t>
            </w:r>
          </w:p>
          <w:p w:rsidR="00255E89" w:rsidRPr="00306F5A" w:rsidRDefault="00255E89" w:rsidP="00255E89">
            <w:pPr>
              <w:pStyle w:val="ListParagraph"/>
              <w:numPr>
                <w:ilvl w:val="0"/>
                <w:numId w:val="16"/>
              </w:numPr>
              <w:ind w:left="152" w:hanging="180"/>
              <w:jc w:val="left"/>
              <w:cnfStyle w:val="000000100000" w:firstRow="0" w:lastRow="0" w:firstColumn="0" w:lastColumn="0" w:oddVBand="0" w:evenVBand="0" w:oddHBand="1" w:evenHBand="0" w:firstRowFirstColumn="0" w:firstRowLastColumn="0" w:lastRowFirstColumn="0" w:lastRowLastColumn="0"/>
              <w:rPr>
                <w:rFonts w:ascii="Arial" w:hAnsi="Arial" w:cs="Arial"/>
                <w:b/>
                <w:lang w:bidi="ar-SA"/>
              </w:rPr>
            </w:pPr>
            <w:r w:rsidRPr="00306F5A">
              <w:rPr>
                <w:rFonts w:ascii="Arial" w:hAnsi="Arial" w:cs="Arial"/>
                <w:lang w:bidi="ar-SA"/>
              </w:rPr>
              <w:t>Process Safety Review Board</w:t>
            </w:r>
          </w:p>
          <w:p w:rsidR="00255E89" w:rsidRPr="00306F5A" w:rsidRDefault="00255E89" w:rsidP="00255E89">
            <w:pPr>
              <w:pStyle w:val="ListParagraph"/>
              <w:numPr>
                <w:ilvl w:val="0"/>
                <w:numId w:val="16"/>
              </w:numPr>
              <w:ind w:left="152" w:hanging="180"/>
              <w:jc w:val="left"/>
              <w:cnfStyle w:val="000000100000" w:firstRow="0" w:lastRow="0" w:firstColumn="0" w:lastColumn="0" w:oddVBand="0" w:evenVBand="0" w:oddHBand="1" w:evenHBand="0" w:firstRowFirstColumn="0" w:firstRowLastColumn="0" w:lastRowFirstColumn="0" w:lastRowLastColumn="0"/>
              <w:rPr>
                <w:rFonts w:ascii="Arial" w:hAnsi="Arial" w:cs="Arial"/>
                <w:b/>
                <w:lang w:bidi="ar-SA"/>
              </w:rPr>
            </w:pPr>
            <w:r w:rsidRPr="00306F5A">
              <w:rPr>
                <w:rFonts w:ascii="Arial" w:hAnsi="Arial" w:cs="Arial"/>
                <w:lang w:bidi="ar-SA"/>
              </w:rPr>
              <w:t>Moisture/Humidity Levels for Fires</w:t>
            </w:r>
          </w:p>
          <w:p w:rsidR="00255E89" w:rsidRPr="00306F5A" w:rsidRDefault="00255E89" w:rsidP="00255E89">
            <w:pPr>
              <w:pStyle w:val="ListParagraph"/>
              <w:numPr>
                <w:ilvl w:val="0"/>
                <w:numId w:val="16"/>
              </w:numPr>
              <w:ind w:left="152" w:hanging="180"/>
              <w:jc w:val="left"/>
              <w:cnfStyle w:val="000000100000" w:firstRow="0" w:lastRow="0" w:firstColumn="0" w:lastColumn="0" w:oddVBand="0" w:evenVBand="0" w:oddHBand="1" w:evenHBand="0" w:firstRowFirstColumn="0" w:firstRowLastColumn="0" w:lastRowFirstColumn="0" w:lastRowLastColumn="0"/>
              <w:rPr>
                <w:rFonts w:ascii="Arial" w:hAnsi="Arial" w:cs="Arial"/>
                <w:b/>
                <w:lang w:bidi="ar-SA"/>
              </w:rPr>
            </w:pPr>
            <w:r w:rsidRPr="00306F5A">
              <w:rPr>
                <w:rFonts w:ascii="Arial" w:hAnsi="Arial" w:cs="Arial"/>
                <w:lang w:bidi="ar-SA"/>
              </w:rPr>
              <w:t>Qualification Cards for Safety Analysts</w:t>
            </w:r>
          </w:p>
          <w:p w:rsidR="00255E89" w:rsidRPr="00306F5A" w:rsidRDefault="00255E89" w:rsidP="00255E89">
            <w:pPr>
              <w:tabs>
                <w:tab w:val="left" w:pos="1670"/>
              </w:tabs>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p w:rsidR="00255E89" w:rsidRPr="00306F5A" w:rsidRDefault="00255E89" w:rsidP="000B5191">
            <w:pPr>
              <w:tabs>
                <w:tab w:val="left" w:pos="1670"/>
              </w:tabs>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 </w:t>
            </w:r>
          </w:p>
        </w:tc>
      </w:tr>
      <w:tr w:rsidR="00255E89" w:rsidRPr="00306F5A" w:rsidTr="00387DF7">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DAEEF3" w:themeFill="accent5" w:themeFillTint="33"/>
          </w:tcPr>
          <w:p w:rsidR="00255E89" w:rsidRPr="00306F5A" w:rsidRDefault="00255E89" w:rsidP="00255E89">
            <w:pPr>
              <w:jc w:val="left"/>
              <w:rPr>
                <w:rFonts w:ascii="Arial" w:hAnsi="Arial" w:cs="Arial"/>
                <w:b w:val="0"/>
                <w:lang w:bidi="ar-SA"/>
              </w:rPr>
            </w:pPr>
            <w:r w:rsidRPr="00306F5A">
              <w:rPr>
                <w:rFonts w:ascii="Arial" w:hAnsi="Arial" w:cs="Arial"/>
                <w:b w:val="0"/>
                <w:lang w:bidi="ar-SA"/>
              </w:rPr>
              <w:t>Unreviewed Safety Questions</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C90319">
            <w:pPr>
              <w:jc w:val="left"/>
              <w:rPr>
                <w:rFonts w:ascii="Arial" w:hAnsi="Arial" w:cs="Arial"/>
                <w:b w:val="0"/>
                <w:lang w:bidi="ar-SA"/>
              </w:rPr>
            </w:pPr>
            <w:r w:rsidRPr="00306F5A">
              <w:rPr>
                <w:rFonts w:ascii="Arial" w:hAnsi="Arial" w:cs="Arial"/>
                <w:b w:val="0"/>
                <w:lang w:bidi="ar-SA"/>
              </w:rPr>
              <w:t xml:space="preserve">Complete </w:t>
            </w:r>
            <w:r w:rsidR="00C34E3E">
              <w:rPr>
                <w:rFonts w:ascii="Arial" w:hAnsi="Arial" w:cs="Arial"/>
                <w:b w:val="0"/>
                <w:lang w:bidi="ar-SA"/>
              </w:rPr>
              <w:t>B</w:t>
            </w:r>
            <w:r w:rsidRPr="00306F5A">
              <w:rPr>
                <w:rFonts w:ascii="Arial" w:hAnsi="Arial" w:cs="Arial"/>
                <w:b w:val="0"/>
                <w:lang w:bidi="ar-SA"/>
              </w:rPr>
              <w:t xml:space="preserve">est </w:t>
            </w:r>
            <w:r w:rsidR="00C34E3E">
              <w:rPr>
                <w:rFonts w:ascii="Arial" w:hAnsi="Arial" w:cs="Arial"/>
                <w:b w:val="0"/>
                <w:lang w:bidi="ar-SA"/>
              </w:rPr>
              <w:t>P</w:t>
            </w:r>
            <w:r w:rsidRPr="00306F5A">
              <w:rPr>
                <w:rFonts w:ascii="Arial" w:hAnsi="Arial" w:cs="Arial"/>
                <w:b w:val="0"/>
                <w:lang w:bidi="ar-SA"/>
              </w:rPr>
              <w:t xml:space="preserve">ractice on implementation of the revised rule and DOE G 424.1-1C, </w:t>
            </w:r>
            <w:r w:rsidRPr="00306F5A">
              <w:rPr>
                <w:rFonts w:ascii="Arial" w:hAnsi="Arial" w:cs="Arial"/>
                <w:b w:val="0"/>
                <w:i/>
                <w:lang w:bidi="ar-SA"/>
              </w:rPr>
              <w:t>Implementation Guide for Use in Addressing Unreviewed Safety Question Requirements</w:t>
            </w:r>
            <w:r w:rsidRPr="00306F5A">
              <w:rPr>
                <w:rFonts w:ascii="Arial" w:hAnsi="Arial" w:cs="Arial"/>
                <w:b w:val="0"/>
                <w:lang w:bidi="ar-SA"/>
              </w:rPr>
              <w:t>,</w:t>
            </w:r>
            <w:r w:rsidRPr="00306F5A">
              <w:rPr>
                <w:rFonts w:ascii="Arial" w:hAnsi="Arial" w:cs="Arial"/>
                <w:b w:val="0"/>
                <w:i/>
                <w:lang w:bidi="ar-SA"/>
              </w:rPr>
              <w:t xml:space="preserve"> </w:t>
            </w:r>
            <w:r w:rsidRPr="00306F5A">
              <w:rPr>
                <w:rFonts w:ascii="Arial" w:hAnsi="Arial" w:cs="Arial"/>
                <w:b w:val="0"/>
                <w:lang w:bidi="ar-SA"/>
              </w:rPr>
              <w:t>in the site or facility USQ procedure following release of the revised 10 CFR 830.</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Consistent implementation of the changes to DOE requirements relating to the USQ process resulting from changes to 10 CFR 830 and DOE G 424.1-1.</w:t>
            </w:r>
          </w:p>
        </w:tc>
        <w:tc>
          <w:tcPr>
            <w:tcW w:w="1717" w:type="pct"/>
            <w:tcBorders>
              <w:left w:val="single" w:sz="8" w:space="0" w:color="4F81BD"/>
            </w:tcBorders>
          </w:tcPr>
          <w:p w:rsidR="00255E89" w:rsidRPr="00306F5A" w:rsidRDefault="00254AFD" w:rsidP="00C9031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 USQ Process implementation with new rule and guidance.  During 10 CFR 830 ru</w:t>
            </w:r>
            <w:r w:rsidR="000B5191" w:rsidRPr="00306F5A">
              <w:rPr>
                <w:rFonts w:ascii="Arial" w:hAnsi="Arial" w:cs="Arial"/>
                <w:lang w:bidi="ar-SA"/>
              </w:rPr>
              <w:t>le change implementation period</w:t>
            </w:r>
            <w:r w:rsidR="00C34E3E">
              <w:rPr>
                <w:rFonts w:ascii="Arial" w:hAnsi="Arial" w:cs="Arial"/>
                <w:lang w:bidi="ar-SA"/>
              </w:rPr>
              <w:t>.</w:t>
            </w:r>
          </w:p>
        </w:tc>
      </w:tr>
      <w:tr w:rsidR="00255E89" w:rsidRPr="00306F5A" w:rsidTr="00387DF7">
        <w:trPr>
          <w:trHeight w:val="187"/>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Provide SME support for revision of the current DOE NTC USQ Training consistent with the revised rule and guide.</w:t>
            </w:r>
            <w:r w:rsidR="003237D5">
              <w:rPr>
                <w:rFonts w:ascii="Arial" w:hAnsi="Arial" w:cs="Arial"/>
                <w:b w:val="0"/>
                <w:lang w:bidi="ar-SA"/>
              </w:rPr>
              <w:t xml:space="preserve">  **</w:t>
            </w:r>
          </w:p>
        </w:tc>
        <w:tc>
          <w:tcPr>
            <w:tcW w:w="1928" w:type="pct"/>
            <w:gridSpan w:val="3"/>
            <w:tcBorders>
              <w:left w:val="single" w:sz="8" w:space="0" w:color="4F81BD"/>
              <w:right w:val="single" w:sz="8" w:space="0" w:color="4F81BD"/>
            </w:tcBorders>
          </w:tcPr>
          <w:p w:rsidR="00255E89" w:rsidRPr="00306F5A" w:rsidRDefault="00255E89" w:rsidP="00255E89">
            <w:pPr>
              <w:tabs>
                <w:tab w:val="left" w:pos="1000"/>
              </w:tabs>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Ensure training that is consistent with the intent of the rule and guide.  Consistently applied methods across the contractor community in the DOE complex.</w:t>
            </w:r>
          </w:p>
        </w:tc>
        <w:tc>
          <w:tcPr>
            <w:tcW w:w="1717" w:type="pct"/>
            <w:tcBorders>
              <w:left w:val="single" w:sz="8" w:space="0" w:color="4F81BD"/>
            </w:tcBorders>
          </w:tcPr>
          <w:p w:rsidR="00255E89" w:rsidRPr="00306F5A" w:rsidRDefault="00255E89" w:rsidP="000B5191">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NTC USQ Training Course vetted through pilot course. </w:t>
            </w:r>
            <w:r w:rsidR="00420CEC" w:rsidRPr="00306F5A">
              <w:rPr>
                <w:rFonts w:ascii="Arial" w:hAnsi="Arial" w:cs="Arial"/>
                <w:lang w:bidi="ar-SA"/>
              </w:rPr>
              <w:t>**</w:t>
            </w:r>
          </w:p>
        </w:tc>
      </w:tr>
      <w:tr w:rsidR="00255E89" w:rsidRPr="00306F5A" w:rsidTr="00387D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C90319">
            <w:pPr>
              <w:jc w:val="left"/>
              <w:rPr>
                <w:rFonts w:ascii="Arial" w:hAnsi="Arial" w:cs="Arial"/>
                <w:b w:val="0"/>
                <w:lang w:bidi="ar-SA"/>
              </w:rPr>
            </w:pPr>
            <w:r w:rsidRPr="00306F5A">
              <w:rPr>
                <w:rFonts w:ascii="Arial" w:hAnsi="Arial" w:cs="Arial"/>
                <w:b w:val="0"/>
                <w:lang w:bidi="ar-SA"/>
              </w:rPr>
              <w:t xml:space="preserve">Complete </w:t>
            </w:r>
            <w:r w:rsidR="00C34E3E">
              <w:rPr>
                <w:rFonts w:ascii="Arial" w:hAnsi="Arial" w:cs="Arial"/>
                <w:b w:val="0"/>
                <w:lang w:bidi="ar-SA"/>
              </w:rPr>
              <w:t>B</w:t>
            </w:r>
            <w:r w:rsidRPr="00306F5A">
              <w:rPr>
                <w:rFonts w:ascii="Arial" w:hAnsi="Arial" w:cs="Arial"/>
                <w:b w:val="0"/>
                <w:lang w:bidi="ar-SA"/>
              </w:rPr>
              <w:t xml:space="preserve">est </w:t>
            </w:r>
            <w:r w:rsidR="00C34E3E">
              <w:rPr>
                <w:rFonts w:ascii="Arial" w:hAnsi="Arial" w:cs="Arial"/>
                <w:b w:val="0"/>
                <w:lang w:bidi="ar-SA"/>
              </w:rPr>
              <w:t>P</w:t>
            </w:r>
            <w:r w:rsidRPr="00306F5A">
              <w:rPr>
                <w:rFonts w:ascii="Arial" w:hAnsi="Arial" w:cs="Arial"/>
                <w:b w:val="0"/>
                <w:lang w:bidi="ar-SA"/>
              </w:rPr>
              <w:t>ractice on USQ applicability to safety software and SQA documentation.</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Consistent implementation of the USQ process for safety software and SQA documentation across the DOE complex.</w:t>
            </w:r>
          </w:p>
        </w:tc>
        <w:tc>
          <w:tcPr>
            <w:tcW w:w="1717" w:type="pct"/>
            <w:tcBorders>
              <w:left w:val="single" w:sz="8" w:space="0" w:color="4F81BD"/>
            </w:tcBorders>
          </w:tcPr>
          <w:p w:rsidR="00255E89" w:rsidRPr="00306F5A" w:rsidRDefault="00254AFD" w:rsidP="00C90319">
            <w:pPr>
              <w:tabs>
                <w:tab w:val="left" w:pos="1210"/>
              </w:tabs>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 USQ Process Applicability to Safety Software and SQA Documentation.  </w:t>
            </w:r>
          </w:p>
        </w:tc>
      </w:tr>
      <w:tr w:rsidR="00255E89" w:rsidRPr="00306F5A" w:rsidTr="00387DF7">
        <w:trPr>
          <w:cantSplit/>
        </w:trPr>
        <w:tc>
          <w:tcPr>
            <w:cnfStyle w:val="001000000000" w:firstRow="0" w:lastRow="0" w:firstColumn="1" w:lastColumn="0" w:oddVBand="0" w:evenVBand="0" w:oddHBand="0" w:evenHBand="0" w:firstRowFirstColumn="0" w:firstRowLastColumn="0" w:lastRowFirstColumn="0" w:lastRowLastColumn="0"/>
            <w:tcW w:w="1355" w:type="pct"/>
            <w:gridSpan w:val="2"/>
            <w:tcBorders>
              <w:right w:val="single" w:sz="8" w:space="0" w:color="4F81BD"/>
            </w:tcBorders>
          </w:tcPr>
          <w:p w:rsidR="00255E89" w:rsidRPr="00306F5A" w:rsidRDefault="00255E89" w:rsidP="00C90319">
            <w:pPr>
              <w:jc w:val="left"/>
              <w:rPr>
                <w:rFonts w:ascii="Arial" w:hAnsi="Arial" w:cs="Arial"/>
                <w:b w:val="0"/>
                <w:lang w:bidi="ar-SA"/>
              </w:rPr>
            </w:pPr>
            <w:r w:rsidRPr="00306F5A">
              <w:rPr>
                <w:rFonts w:ascii="Arial" w:hAnsi="Arial" w:cs="Arial"/>
                <w:b w:val="0"/>
                <w:lang w:bidi="ar-SA"/>
              </w:rPr>
              <w:t xml:space="preserve">Complete </w:t>
            </w:r>
            <w:r w:rsidR="00C34E3E">
              <w:rPr>
                <w:rFonts w:ascii="Arial" w:hAnsi="Arial" w:cs="Arial"/>
                <w:b w:val="0"/>
                <w:lang w:bidi="ar-SA"/>
              </w:rPr>
              <w:t>B</w:t>
            </w:r>
            <w:r w:rsidRPr="00306F5A">
              <w:rPr>
                <w:rFonts w:ascii="Arial" w:hAnsi="Arial" w:cs="Arial"/>
                <w:b w:val="0"/>
                <w:lang w:bidi="ar-SA"/>
              </w:rPr>
              <w:t xml:space="preserve">est </w:t>
            </w:r>
            <w:r w:rsidR="00C34E3E">
              <w:rPr>
                <w:rFonts w:ascii="Arial" w:hAnsi="Arial" w:cs="Arial"/>
                <w:b w:val="0"/>
                <w:lang w:bidi="ar-SA"/>
              </w:rPr>
              <w:t>P</w:t>
            </w:r>
            <w:r w:rsidRPr="00306F5A">
              <w:rPr>
                <w:rFonts w:ascii="Arial" w:hAnsi="Arial" w:cs="Arial"/>
                <w:b w:val="0"/>
                <w:lang w:bidi="ar-SA"/>
              </w:rPr>
              <w:t xml:space="preserve">ractice on PDSA change control (USQ-like) procedure based on questions in DOE-STD-1189, </w:t>
            </w:r>
            <w:r w:rsidRPr="00306F5A">
              <w:rPr>
                <w:rFonts w:ascii="Arial" w:hAnsi="Arial" w:cs="Arial"/>
                <w:b w:val="0"/>
                <w:i/>
                <w:lang w:bidi="ar-SA"/>
              </w:rPr>
              <w:t>Integration of Safety in Design Process</w:t>
            </w:r>
            <w:r w:rsidRPr="00306F5A">
              <w:rPr>
                <w:rFonts w:ascii="Arial" w:hAnsi="Arial" w:cs="Arial"/>
                <w:b w:val="0"/>
                <w:lang w:bidi="ar-SA"/>
              </w:rPr>
              <w:t>.</w:t>
            </w:r>
          </w:p>
        </w:tc>
        <w:tc>
          <w:tcPr>
            <w:tcW w:w="1928" w:type="pct"/>
            <w:gridSpan w:val="3"/>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Consistent implementation of a PDSA change control process across the DOE complex.  </w:t>
            </w:r>
          </w:p>
        </w:tc>
        <w:tc>
          <w:tcPr>
            <w:tcW w:w="1717" w:type="pct"/>
            <w:tcBorders>
              <w:left w:val="single" w:sz="8" w:space="0" w:color="4F81BD"/>
            </w:tcBorders>
          </w:tcPr>
          <w:p w:rsidR="00255E89" w:rsidRPr="00306F5A" w:rsidRDefault="00254AFD" w:rsidP="00C9031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Best Practice</w:t>
            </w:r>
            <w:r w:rsidR="00255E89" w:rsidRPr="00306F5A">
              <w:rPr>
                <w:rFonts w:ascii="Arial" w:hAnsi="Arial" w:cs="Arial"/>
                <w:lang w:bidi="ar-SA"/>
              </w:rPr>
              <w:t xml:space="preserve"> – PDSA Change Control Process Procedure based on Questions from DOE-STD-1189.  </w:t>
            </w:r>
          </w:p>
        </w:tc>
      </w:tr>
    </w:tbl>
    <w:p w:rsidR="003237D5" w:rsidRDefault="003237D5">
      <w:r>
        <w:rPr>
          <w:b/>
          <w:bCs/>
        </w:rPr>
        <w:br w:type="page"/>
      </w:r>
    </w:p>
    <w:tbl>
      <w:tblPr>
        <w:tblStyle w:val="LightList-Accent11"/>
        <w:tblW w:w="5010" w:type="pct"/>
        <w:tblInd w:w="-10" w:type="dxa"/>
        <w:tblLayout w:type="fixed"/>
        <w:tblLook w:val="04A0" w:firstRow="1" w:lastRow="0" w:firstColumn="1" w:lastColumn="0" w:noHBand="0" w:noVBand="1"/>
      </w:tblPr>
      <w:tblGrid>
        <w:gridCol w:w="13"/>
        <w:gridCol w:w="3182"/>
        <w:gridCol w:w="13"/>
        <w:gridCol w:w="5293"/>
        <w:gridCol w:w="4465"/>
      </w:tblGrid>
      <w:tr w:rsidR="00255E89" w:rsidRPr="00306F5A" w:rsidTr="00AD5E93">
        <w:trPr>
          <w:gridBefore w:val="1"/>
          <w:cnfStyle w:val="100000000000" w:firstRow="1" w:lastRow="0" w:firstColumn="0" w:lastColumn="0" w:oddVBand="0" w:evenVBand="0" w:oddHBand="0"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4995" w:type="pct"/>
            <w:gridSpan w:val="4"/>
            <w:shd w:val="clear" w:color="auto" w:fill="DDD9C3"/>
          </w:tcPr>
          <w:p w:rsidR="00255E89" w:rsidRPr="00306F5A" w:rsidRDefault="00255E89" w:rsidP="00255E89">
            <w:pPr>
              <w:jc w:val="left"/>
              <w:rPr>
                <w:rFonts w:ascii="Arial" w:hAnsi="Arial" w:cs="Arial"/>
                <w:b w:val="0"/>
                <w:sz w:val="28"/>
                <w:lang w:bidi="ar-SA"/>
              </w:rPr>
            </w:pPr>
            <w:r w:rsidRPr="00306F5A">
              <w:rPr>
                <w:rFonts w:ascii="Arial" w:hAnsi="Arial" w:cs="Arial"/>
                <w:b w:val="0"/>
                <w:sz w:val="28"/>
                <w:lang w:bidi="ar-SA"/>
              </w:rPr>
              <w:t>4.0   Quality Assurance</w:t>
            </w:r>
          </w:p>
        </w:tc>
      </w:tr>
      <w:tr w:rsidR="00255E89" w:rsidRPr="00306F5A" w:rsidTr="00AD5E93">
        <w:trPr>
          <w:gridBefore w:val="1"/>
          <w:cnfStyle w:val="000000100000" w:firstRow="0" w:lastRow="0" w:firstColumn="0" w:lastColumn="0" w:oddVBand="0" w:evenVBand="0" w:oddHBand="1" w:evenHBand="0" w:firstRowFirstColumn="0" w:firstRowLastColumn="0" w:lastRowFirstColumn="0" w:lastRowLastColumn="0"/>
          <w:wBefore w:w="5" w:type="pct"/>
          <w:trHeight w:val="223"/>
        </w:trPr>
        <w:tc>
          <w:tcPr>
            <w:cnfStyle w:val="001000000000" w:firstRow="0" w:lastRow="0" w:firstColumn="1" w:lastColumn="0" w:oddVBand="0" w:evenVBand="0" w:oddHBand="0" w:evenHBand="0" w:firstRowFirstColumn="0" w:firstRowLastColumn="0" w:lastRowFirstColumn="0" w:lastRowLastColumn="0"/>
            <w:tcW w:w="4995" w:type="pct"/>
            <w:gridSpan w:val="4"/>
            <w:shd w:val="clear" w:color="auto" w:fill="DAEEF3" w:themeFill="accent5" w:themeFillTint="33"/>
          </w:tcPr>
          <w:p w:rsidR="00255E89" w:rsidRPr="00306F5A" w:rsidRDefault="00255E89" w:rsidP="00255E89">
            <w:pPr>
              <w:jc w:val="left"/>
              <w:rPr>
                <w:rFonts w:ascii="Arial" w:hAnsi="Arial" w:cs="Arial"/>
                <w:caps/>
                <w:lang w:bidi="ar-SA"/>
              </w:rPr>
            </w:pPr>
            <w:r w:rsidRPr="00306F5A">
              <w:rPr>
                <w:rFonts w:ascii="Arial" w:hAnsi="Arial" w:cs="Arial"/>
                <w:b w:val="0"/>
                <w:bCs w:val="0"/>
              </w:rPr>
              <w:t>Policy and Procedures</w:t>
            </w: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4AFD" w:rsidP="00C90319">
            <w:pPr>
              <w:jc w:val="left"/>
              <w:rPr>
                <w:rFonts w:ascii="Arial" w:hAnsi="Arial" w:cs="Arial"/>
                <w:b w:val="0"/>
                <w:lang w:bidi="ar-SA"/>
              </w:rPr>
            </w:pPr>
            <w:r>
              <w:rPr>
                <w:rFonts w:ascii="Arial" w:hAnsi="Arial" w:cs="Arial"/>
                <w:b w:val="0"/>
                <w:lang w:bidi="ar-SA"/>
              </w:rPr>
              <w:t>Best Practice</w:t>
            </w:r>
            <w:r w:rsidR="00255E89" w:rsidRPr="00306F5A">
              <w:rPr>
                <w:rFonts w:ascii="Arial" w:hAnsi="Arial" w:cs="Arial"/>
                <w:b w:val="0"/>
                <w:lang w:bidi="ar-SA"/>
              </w:rPr>
              <w:t>s for QA Metrics and Methods</w:t>
            </w:r>
          </w:p>
        </w:tc>
        <w:tc>
          <w:tcPr>
            <w:tcW w:w="2041"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snapToGrid w:val="0"/>
              </w:rPr>
              <w:t xml:space="preserve">Determine set of effective QA metrics and methods (e.g. data collection) applicable to the various facilities across the DOE complex, e.g. laboratory vs. nuclear. Focus will be on developing metrics and providing guidance on their collection, use/trending, and applicability (specific to facility type). Will additionally attempt to determine leading </w:t>
            </w:r>
            <w:r w:rsidR="00E65FCC" w:rsidRPr="00306F5A">
              <w:rPr>
                <w:rFonts w:ascii="Arial" w:hAnsi="Arial" w:cs="Arial"/>
                <w:snapToGrid w:val="0"/>
              </w:rPr>
              <w:t>indicators, which</w:t>
            </w:r>
            <w:r w:rsidRPr="00306F5A">
              <w:rPr>
                <w:rFonts w:ascii="Arial" w:hAnsi="Arial" w:cs="Arial"/>
                <w:snapToGrid w:val="0"/>
              </w:rPr>
              <w:t xml:space="preserve"> are particularly lacking at most sites.</w:t>
            </w:r>
          </w:p>
        </w:tc>
        <w:tc>
          <w:tcPr>
            <w:tcW w:w="1722" w:type="pct"/>
            <w:tcBorders>
              <w:left w:val="single" w:sz="8" w:space="0" w:color="4F81BD"/>
            </w:tcBorders>
          </w:tcPr>
          <w:p w:rsidR="00255E89" w:rsidRPr="00306F5A" w:rsidRDefault="00C34E3E" w:rsidP="00255E89">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 xml:space="preserve">Publish </w:t>
            </w:r>
            <w:r w:rsidR="00254AFD">
              <w:rPr>
                <w:rFonts w:ascii="Arial" w:hAnsi="Arial" w:cs="Arial"/>
                <w:lang w:bidi="ar-SA"/>
              </w:rPr>
              <w:t>Best Practice</w:t>
            </w:r>
          </w:p>
        </w:tc>
      </w:tr>
      <w:tr w:rsidR="00255E89" w:rsidRPr="00306F5A" w:rsidTr="00387DF7">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52314A">
            <w:pPr>
              <w:jc w:val="left"/>
              <w:rPr>
                <w:rFonts w:ascii="Arial" w:hAnsi="Arial" w:cs="Arial"/>
                <w:b w:val="0"/>
                <w:lang w:bidi="ar-SA"/>
              </w:rPr>
            </w:pPr>
            <w:r w:rsidRPr="00306F5A">
              <w:rPr>
                <w:rFonts w:ascii="Arial" w:hAnsi="Arial" w:cs="Arial"/>
                <w:b w:val="0"/>
              </w:rPr>
              <w:t>Guide for EFCOG White Paper Development and Release</w:t>
            </w:r>
          </w:p>
          <w:p w:rsidR="00255E89" w:rsidRPr="00306F5A" w:rsidRDefault="00255E89" w:rsidP="00255E89">
            <w:pPr>
              <w:jc w:val="left"/>
              <w:rPr>
                <w:rFonts w:ascii="Arial" w:hAnsi="Arial" w:cs="Arial"/>
                <w:lang w:bidi="ar-SA"/>
              </w:rPr>
            </w:pPr>
          </w:p>
        </w:tc>
        <w:tc>
          <w:tcPr>
            <w:tcW w:w="2041"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snapToGrid w:val="0"/>
              </w:rPr>
              <w:t xml:space="preserve">Create a guide for the various EFCOG groups for the development, approval, and release/posting process for </w:t>
            </w:r>
            <w:r w:rsidR="00254AFD">
              <w:rPr>
                <w:rFonts w:ascii="Arial" w:hAnsi="Arial" w:cs="Arial"/>
                <w:snapToGrid w:val="0"/>
              </w:rPr>
              <w:t>White Paper</w:t>
            </w:r>
            <w:r w:rsidRPr="00306F5A">
              <w:rPr>
                <w:rFonts w:ascii="Arial" w:hAnsi="Arial" w:cs="Arial"/>
                <w:snapToGrid w:val="0"/>
              </w:rPr>
              <w:t>s. Currently no guidance exists on the topic and neither the process nor expectations are described, including points of contact, etc.</w:t>
            </w:r>
          </w:p>
        </w:tc>
        <w:tc>
          <w:tcPr>
            <w:tcW w:w="1722" w:type="pct"/>
            <w:tcBorders>
              <w:left w:val="single" w:sz="8" w:space="0" w:color="4F81BD"/>
            </w:tcBorders>
          </w:tcPr>
          <w:p w:rsidR="00255E89" w:rsidRPr="00306F5A" w:rsidRDefault="00C34E3E"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Pr>
                <w:rFonts w:ascii="Arial" w:hAnsi="Arial" w:cs="Arial"/>
                <w:lang w:bidi="ar-SA"/>
              </w:rPr>
              <w:t>Publish Guide</w:t>
            </w:r>
          </w:p>
        </w:tc>
      </w:tr>
      <w:tr w:rsidR="00255E89" w:rsidRPr="00306F5A" w:rsidTr="00AD5E93">
        <w:trPr>
          <w:gridBefore w:val="1"/>
          <w:wBefore w:w="5" w:type="pct"/>
          <w:trHeight w:val="223"/>
        </w:trPr>
        <w:tc>
          <w:tcPr>
            <w:cnfStyle w:val="001000000000" w:firstRow="0" w:lastRow="0" w:firstColumn="1" w:lastColumn="0" w:oddVBand="0" w:evenVBand="0" w:oddHBand="0" w:evenHBand="0" w:firstRowFirstColumn="0" w:firstRowLastColumn="0" w:lastRowFirstColumn="0" w:lastRowLastColumn="0"/>
            <w:tcW w:w="4995" w:type="pct"/>
            <w:gridSpan w:val="4"/>
            <w:shd w:val="clear" w:color="auto" w:fill="DAEEF3" w:themeFill="accent5" w:themeFillTint="33"/>
          </w:tcPr>
          <w:p w:rsidR="00255E89" w:rsidRPr="00306F5A" w:rsidRDefault="00255E89" w:rsidP="00255E89">
            <w:pPr>
              <w:jc w:val="left"/>
              <w:rPr>
                <w:rFonts w:ascii="Arial" w:hAnsi="Arial" w:cs="Arial"/>
                <w:caps/>
                <w:lang w:bidi="ar-SA"/>
              </w:rPr>
            </w:pPr>
            <w:r w:rsidRPr="00306F5A">
              <w:rPr>
                <w:rFonts w:ascii="Arial" w:hAnsi="Arial" w:cs="Arial"/>
                <w:b w:val="0"/>
                <w:bCs w:val="0"/>
              </w:rPr>
              <w:t>Software QA</w:t>
            </w:r>
          </w:p>
        </w:tc>
      </w:tr>
      <w:tr w:rsidR="00255E89" w:rsidRPr="00306F5A" w:rsidTr="00387DF7">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Central Registry Toolbox Code Qualification Process Streamlining</w:t>
            </w:r>
            <w:r w:rsidR="003237D5">
              <w:rPr>
                <w:rFonts w:ascii="Arial" w:hAnsi="Arial" w:cs="Arial"/>
                <w:b w:val="0"/>
                <w:lang w:bidi="ar-SA"/>
              </w:rPr>
              <w:t xml:space="preserve">  **</w:t>
            </w:r>
          </w:p>
        </w:tc>
        <w:tc>
          <w:tcPr>
            <w:tcW w:w="2041"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Help speed up and make more efficient the code qualification process for the DOE Central Registry’s Toolbox.  These tools can then be used by site around the DOE Complex with lightened site-specific qualification.</w:t>
            </w:r>
          </w:p>
        </w:tc>
        <w:tc>
          <w:tcPr>
            <w:tcW w:w="1722" w:type="pct"/>
            <w:tcBorders>
              <w:left w:val="single" w:sz="8" w:space="0" w:color="4F81BD"/>
            </w:tcBorders>
          </w:tcPr>
          <w:p w:rsidR="00255E89" w:rsidRPr="00306F5A" w:rsidRDefault="00255E89" w:rsidP="00255E89">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Recommendations, with implementation details, for streamlining the qualification process and groups that can help with the qualification audits and training.</w:t>
            </w:r>
            <w:r w:rsidR="00420CEC" w:rsidRPr="00306F5A">
              <w:rPr>
                <w:rFonts w:ascii="Arial" w:hAnsi="Arial" w:cs="Arial"/>
                <w:lang w:bidi="ar-SA"/>
              </w:rPr>
              <w:t>**</w:t>
            </w: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Supplier Audit Software-specific Checklists</w:t>
            </w:r>
          </w:p>
        </w:tc>
        <w:tc>
          <w:tcPr>
            <w:tcW w:w="2041"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Increases the usefulness of the MASL evaluated suppliers list if the companies offer software.  Sites desiring to use a MASL supplier will need to do less evaluation if most or all of information they need to make an informed decision about the quality of the supplier and software is available in the MASL.  This checklist could also be used by individual sites for doing their own software supplier evaluations.</w:t>
            </w:r>
          </w:p>
        </w:tc>
        <w:tc>
          <w:tcPr>
            <w:tcW w:w="1722" w:type="pct"/>
            <w:tcBorders>
              <w:left w:val="single" w:sz="8" w:space="0" w:color="4F81BD"/>
            </w:tcBorders>
          </w:tcPr>
          <w:p w:rsidR="00255E89" w:rsidRPr="00306F5A" w:rsidRDefault="00255E89" w:rsidP="00255E89">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A checklist (or checklists) of questions to be added to supplier audit checklists to help ensure software-specific information is gathered and evaluated.</w:t>
            </w:r>
          </w:p>
        </w:tc>
      </w:tr>
      <w:tr w:rsidR="00255E89" w:rsidRPr="00306F5A" w:rsidTr="00387DF7">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Redesign EFCOG SQA Web Site</w:t>
            </w:r>
          </w:p>
        </w:tc>
        <w:tc>
          <w:tcPr>
            <w:tcW w:w="2041"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Will made information, documents, meeting information, contacts, and other types of software related links easier to find on the EFCOG SQA pages.</w:t>
            </w:r>
          </w:p>
        </w:tc>
        <w:tc>
          <w:tcPr>
            <w:tcW w:w="1722" w:type="pct"/>
            <w:tcBorders>
              <w:left w:val="single" w:sz="8" w:space="0" w:color="4F81BD"/>
            </w:tcBorders>
          </w:tcPr>
          <w:p w:rsidR="00255E89" w:rsidRPr="00306F5A" w:rsidRDefault="00255E89" w:rsidP="00255E89">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Redesign and refresh of the EFCOG SQA pages.</w:t>
            </w: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Review EFCOG Zip File</w:t>
            </w:r>
          </w:p>
        </w:tc>
        <w:tc>
          <w:tcPr>
            <w:tcW w:w="2041"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Files and documents from the older EFCOG site were bundled into a single zip file containing information from multiple task groups.  Reviewing this file and determining which documents should be extracted and placed on the EFCOG SQA pages for future reference will make these documents available across the DOE Complex.</w:t>
            </w:r>
          </w:p>
        </w:tc>
        <w:tc>
          <w:tcPr>
            <w:tcW w:w="1722" w:type="pct"/>
            <w:tcBorders>
              <w:left w:val="single" w:sz="8" w:space="0" w:color="4F81BD"/>
            </w:tcBorders>
          </w:tcPr>
          <w:p w:rsidR="00255E89" w:rsidRPr="00306F5A" w:rsidRDefault="00255E89" w:rsidP="00255E89">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List of files to be extracted from the larger zip file and placed on the EFCOG SQA pages.</w:t>
            </w:r>
          </w:p>
        </w:tc>
      </w:tr>
      <w:tr w:rsidR="00255E89" w:rsidRPr="00306F5A" w:rsidTr="00387DF7">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bCs w:val="0"/>
                <w:lang w:bidi="ar-SA"/>
              </w:rPr>
              <w:t>Mapping SCRUM Events to Safety Software Work Activities</w:t>
            </w:r>
          </w:p>
        </w:tc>
        <w:tc>
          <w:tcPr>
            <w:tcW w:w="2041"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As more development teams move to using an Agile and/or SCRUM methodology, there is confusion on the parts of both team members and federal oversight on what and when records and documents matching the requirements of the DOE O 414.1D work activities are produced.  This mapping will begin answering those types of questions.</w:t>
            </w:r>
          </w:p>
        </w:tc>
        <w:tc>
          <w:tcPr>
            <w:tcW w:w="1722" w:type="pct"/>
            <w:tcBorders>
              <w:left w:val="single" w:sz="8" w:space="0" w:color="4F81BD"/>
            </w:tcBorders>
          </w:tcPr>
          <w:p w:rsidR="00255E89" w:rsidRPr="00306F5A" w:rsidRDefault="00255E89" w:rsidP="00255E89">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Mapping of the ten DOE O 414.1D Work Activities with phases and activities of the Agile/SCRUM processes, identifying types of documents and records produced by each.</w:t>
            </w: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rPr>
            </w:pPr>
            <w:r w:rsidRPr="00306F5A">
              <w:rPr>
                <w:rFonts w:ascii="Arial" w:hAnsi="Arial" w:cs="Arial"/>
                <w:b w:val="0"/>
                <w:bCs w:val="0"/>
                <w:lang w:bidi="ar-SA"/>
              </w:rPr>
              <w:t>Cloud-hosted Software Recommendations</w:t>
            </w:r>
          </w:p>
        </w:tc>
        <w:tc>
          <w:tcPr>
            <w:tcW w:w="2041"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lang w:bidi="ar-SA"/>
              </w:rPr>
              <w:t>Many commercial software tools are moving to a cloud-hosted platform in which the vendor serves up the application on a server they control that is accessible via the internet.  This task will address security concerns, configuration control, testing, and the qualification process for software that is nuclear/radiological safety related.</w:t>
            </w:r>
          </w:p>
        </w:tc>
        <w:tc>
          <w:tcPr>
            <w:tcW w:w="1722" w:type="pct"/>
            <w:tcBorders>
              <w:left w:val="single" w:sz="8" w:space="0" w:color="4F81BD"/>
            </w:tcBorders>
          </w:tcPr>
          <w:p w:rsidR="00255E89" w:rsidRPr="00306F5A" w:rsidRDefault="00255E89" w:rsidP="0004646B">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lang w:bidi="ar-SA"/>
              </w:rPr>
              <w:t xml:space="preserve">A position paper containing recommendations and considerations addressing security concerns, configuration control, testing, and the </w:t>
            </w:r>
            <w:r w:rsidR="0004646B" w:rsidRPr="00306F5A">
              <w:rPr>
                <w:rFonts w:ascii="Arial" w:hAnsi="Arial" w:cs="Arial"/>
                <w:lang w:bidi="ar-SA"/>
              </w:rPr>
              <w:t>qualification</w:t>
            </w:r>
            <w:r w:rsidRPr="00306F5A">
              <w:rPr>
                <w:rFonts w:ascii="Arial" w:hAnsi="Arial" w:cs="Arial"/>
                <w:lang w:bidi="ar-SA"/>
              </w:rPr>
              <w:t xml:space="preserve"> process for software that is nuclear/radiological safety related</w:t>
            </w:r>
            <w:r w:rsidR="0004646B" w:rsidRPr="00306F5A">
              <w:rPr>
                <w:rFonts w:ascii="Arial" w:hAnsi="Arial" w:cs="Arial"/>
                <w:lang w:bidi="ar-SA"/>
              </w:rPr>
              <w:t>,</w:t>
            </w:r>
            <w:r w:rsidRPr="00306F5A">
              <w:rPr>
                <w:rFonts w:ascii="Arial" w:hAnsi="Arial" w:cs="Arial"/>
                <w:lang w:bidi="ar-SA"/>
              </w:rPr>
              <w:t xml:space="preserve"> cloud-hosted software.</w:t>
            </w:r>
          </w:p>
        </w:tc>
      </w:tr>
      <w:tr w:rsidR="00255E89" w:rsidRPr="00306F5A" w:rsidTr="00AD5E93">
        <w:trPr>
          <w:gridBefore w:val="1"/>
          <w:cnfStyle w:val="000000100000" w:firstRow="0" w:lastRow="0" w:firstColumn="0" w:lastColumn="0" w:oddVBand="0" w:evenVBand="0" w:oddHBand="1" w:evenHBand="0" w:firstRowFirstColumn="0" w:firstRowLastColumn="0" w:lastRowFirstColumn="0" w:lastRowLastColumn="0"/>
          <w:wBefore w:w="5" w:type="pct"/>
          <w:trHeight w:val="223"/>
        </w:trPr>
        <w:tc>
          <w:tcPr>
            <w:cnfStyle w:val="001000000000" w:firstRow="0" w:lastRow="0" w:firstColumn="1" w:lastColumn="0" w:oddVBand="0" w:evenVBand="0" w:oddHBand="0" w:evenHBand="0" w:firstRowFirstColumn="0" w:firstRowLastColumn="0" w:lastRowFirstColumn="0" w:lastRowLastColumn="0"/>
            <w:tcW w:w="4995" w:type="pct"/>
            <w:gridSpan w:val="4"/>
            <w:shd w:val="clear" w:color="auto" w:fill="DAEEF3" w:themeFill="accent5" w:themeFillTint="33"/>
          </w:tcPr>
          <w:p w:rsidR="00255E89" w:rsidRPr="00306F5A" w:rsidRDefault="00255E89" w:rsidP="00255E89">
            <w:pPr>
              <w:jc w:val="left"/>
              <w:rPr>
                <w:rFonts w:ascii="Arial" w:hAnsi="Arial" w:cs="Arial"/>
                <w:caps/>
                <w:lang w:bidi="ar-SA"/>
              </w:rPr>
            </w:pPr>
            <w:r w:rsidRPr="00306F5A">
              <w:rPr>
                <w:rFonts w:ascii="Arial" w:hAnsi="Arial" w:cs="Arial"/>
                <w:b w:val="0"/>
                <w:bCs w:val="0"/>
              </w:rPr>
              <w:t>Supply Chain Quality</w:t>
            </w: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bCs w:val="0"/>
              </w:rPr>
            </w:pPr>
            <w:r w:rsidRPr="00306F5A">
              <w:rPr>
                <w:rFonts w:ascii="Arial" w:hAnsi="Arial" w:cs="Arial"/>
                <w:b w:val="0"/>
              </w:rPr>
              <w:t>Suspect/Counterfeit Prevention Improvement</w:t>
            </w:r>
          </w:p>
          <w:p w:rsidR="00255E89" w:rsidRPr="00306F5A" w:rsidRDefault="00255E89" w:rsidP="00255E89">
            <w:pPr>
              <w:jc w:val="left"/>
              <w:rPr>
                <w:rFonts w:ascii="Arial" w:hAnsi="Arial" w:cs="Arial"/>
                <w:b w:val="0"/>
                <w:bCs w:val="0"/>
              </w:rPr>
            </w:pPr>
          </w:p>
          <w:p w:rsidR="00255E89" w:rsidRPr="00306F5A" w:rsidRDefault="00255E89" w:rsidP="00255E89">
            <w:pPr>
              <w:jc w:val="left"/>
              <w:rPr>
                <w:rFonts w:ascii="Arial" w:hAnsi="Arial" w:cs="Arial"/>
                <w:b w:val="0"/>
                <w:bCs w:val="0"/>
              </w:rPr>
            </w:pPr>
          </w:p>
          <w:p w:rsidR="00255E89" w:rsidRPr="00306F5A" w:rsidRDefault="00255E89" w:rsidP="00255E89">
            <w:pPr>
              <w:jc w:val="left"/>
              <w:rPr>
                <w:rFonts w:ascii="Arial" w:hAnsi="Arial" w:cs="Arial"/>
                <w:b w:val="0"/>
                <w:lang w:bidi="ar-SA"/>
              </w:rPr>
            </w:pPr>
          </w:p>
        </w:tc>
        <w:tc>
          <w:tcPr>
            <w:tcW w:w="2041"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 xml:space="preserve">Provide recommended </w:t>
            </w:r>
            <w:r w:rsidR="00C34E3E">
              <w:rPr>
                <w:rFonts w:ascii="Arial" w:hAnsi="Arial" w:cs="Arial"/>
              </w:rPr>
              <w:t>B</w:t>
            </w:r>
            <w:r w:rsidRPr="00306F5A">
              <w:rPr>
                <w:rFonts w:ascii="Arial" w:hAnsi="Arial" w:cs="Arial"/>
              </w:rPr>
              <w:t xml:space="preserve">est </w:t>
            </w:r>
            <w:r w:rsidR="00C34E3E">
              <w:rPr>
                <w:rFonts w:ascii="Arial" w:hAnsi="Arial" w:cs="Arial"/>
              </w:rPr>
              <w:t>P</w:t>
            </w:r>
            <w:r w:rsidRPr="00306F5A">
              <w:rPr>
                <w:rFonts w:ascii="Arial" w:hAnsi="Arial" w:cs="Arial"/>
              </w:rPr>
              <w:t xml:space="preserve">ractices regarding criteria in DOE O 232.2A addressing legacy suspect counterfeit items.  Through this </w:t>
            </w:r>
            <w:r w:rsidR="0004646B" w:rsidRPr="00306F5A">
              <w:rPr>
                <w:rFonts w:ascii="Arial" w:hAnsi="Arial" w:cs="Arial"/>
              </w:rPr>
              <w:t>task,</w:t>
            </w:r>
            <w:r w:rsidRPr="00306F5A">
              <w:rPr>
                <w:rFonts w:ascii="Arial" w:hAnsi="Arial" w:cs="Arial"/>
              </w:rPr>
              <w:t xml:space="preserve"> a suspect counterfeit Items clearing house has been set-up at </w:t>
            </w:r>
            <w:hyperlink r:id="rId8" w:history="1">
              <w:r w:rsidRPr="00306F5A">
                <w:rPr>
                  <w:rStyle w:val="Hyperlink"/>
                  <w:rFonts w:ascii="Arial" w:hAnsi="Arial" w:cs="Arial"/>
                </w:rPr>
                <w:t>https://opexshare.doe.gov</w:t>
              </w:r>
            </w:hyperlink>
            <w:hyperlink r:id="rId9" w:history="1">
              <w:r w:rsidRPr="00306F5A">
                <w:rPr>
                  <w:rStyle w:val="Hyperlink"/>
                  <w:rFonts w:ascii="Arial" w:hAnsi="Arial" w:cs="Arial"/>
                </w:rPr>
                <w:t>/</w:t>
              </w:r>
            </w:hyperlink>
            <w:r w:rsidRPr="00306F5A">
              <w:rPr>
                <w:rFonts w:ascii="Arial" w:hAnsi="Arial" w:cs="Arial"/>
              </w:rPr>
              <w:t>, This site now provides valuable information regarding suspect counterfeit items.</w:t>
            </w:r>
          </w:p>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c>
          <w:tcPr>
            <w:tcW w:w="1722" w:type="pct"/>
            <w:tcBorders>
              <w:lef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 xml:space="preserve">Provide recommended </w:t>
            </w:r>
            <w:r w:rsidR="00C34E3E">
              <w:rPr>
                <w:rFonts w:ascii="Arial" w:hAnsi="Arial" w:cs="Arial"/>
              </w:rPr>
              <w:t>B</w:t>
            </w:r>
            <w:r w:rsidRPr="00306F5A">
              <w:rPr>
                <w:rFonts w:ascii="Arial" w:hAnsi="Arial" w:cs="Arial"/>
              </w:rPr>
              <w:t xml:space="preserve">est </w:t>
            </w:r>
            <w:r w:rsidR="00C34E3E">
              <w:rPr>
                <w:rFonts w:ascii="Arial" w:hAnsi="Arial" w:cs="Arial"/>
              </w:rPr>
              <w:t>P</w:t>
            </w:r>
            <w:r w:rsidRPr="00306F5A">
              <w:rPr>
                <w:rFonts w:ascii="Arial" w:hAnsi="Arial" w:cs="Arial"/>
              </w:rPr>
              <w:t>ractices on suspect counterfeit items that can aid in the revision of DOE O 232.2A</w:t>
            </w:r>
          </w:p>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p w:rsidR="00255E89" w:rsidRPr="00306F5A" w:rsidRDefault="00255E89" w:rsidP="00C9031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rPr>
              <w:t xml:space="preserve">Provide recommended </w:t>
            </w:r>
            <w:r w:rsidR="00C34E3E">
              <w:rPr>
                <w:rFonts w:ascii="Arial" w:hAnsi="Arial" w:cs="Arial"/>
              </w:rPr>
              <w:t>B</w:t>
            </w:r>
            <w:r w:rsidRPr="00306F5A">
              <w:rPr>
                <w:rFonts w:ascii="Arial" w:hAnsi="Arial" w:cs="Arial"/>
              </w:rPr>
              <w:t xml:space="preserve">est </w:t>
            </w:r>
            <w:r w:rsidR="00C34E3E">
              <w:rPr>
                <w:rFonts w:ascii="Arial" w:hAnsi="Arial" w:cs="Arial"/>
              </w:rPr>
              <w:t>P</w:t>
            </w:r>
            <w:r w:rsidRPr="00306F5A">
              <w:rPr>
                <w:rFonts w:ascii="Arial" w:hAnsi="Arial" w:cs="Arial"/>
              </w:rPr>
              <w:t xml:space="preserve">ractices on suspect counterfeit items that can aid in the revision </w:t>
            </w:r>
            <w:r w:rsidR="00613EF9">
              <w:rPr>
                <w:rFonts w:ascii="Arial" w:hAnsi="Arial" w:cs="Arial"/>
              </w:rPr>
              <w:t xml:space="preserve">of </w:t>
            </w:r>
            <w:r w:rsidRPr="00306F5A">
              <w:rPr>
                <w:rFonts w:ascii="Arial" w:hAnsi="Arial" w:cs="Arial"/>
              </w:rPr>
              <w:t>DOE O 414.1D</w:t>
            </w:r>
          </w:p>
        </w:tc>
      </w:tr>
      <w:tr w:rsidR="00255E89" w:rsidRPr="00306F5A" w:rsidTr="00387DF7">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rPr>
            </w:pPr>
            <w:r w:rsidRPr="00306F5A">
              <w:rPr>
                <w:rFonts w:ascii="Arial" w:hAnsi="Arial" w:cs="Arial"/>
                <w:b w:val="0"/>
              </w:rPr>
              <w:t>Commercial Grade Dedication Training utilizing the new DOE CGD Handbook</w:t>
            </w:r>
            <w:r w:rsidR="00A40FFF">
              <w:rPr>
                <w:rFonts w:ascii="Arial" w:hAnsi="Arial" w:cs="Arial"/>
                <w:b w:val="0"/>
              </w:rPr>
              <w:t xml:space="preserve"> **</w:t>
            </w:r>
          </w:p>
          <w:p w:rsidR="00255E89" w:rsidRPr="00306F5A" w:rsidRDefault="00255E89" w:rsidP="00255E89">
            <w:pPr>
              <w:jc w:val="left"/>
              <w:rPr>
                <w:rFonts w:ascii="Arial" w:hAnsi="Arial" w:cs="Arial"/>
                <w:b w:val="0"/>
              </w:rPr>
            </w:pPr>
          </w:p>
          <w:p w:rsidR="00255E89" w:rsidRPr="00306F5A" w:rsidRDefault="00255E89" w:rsidP="00255E89">
            <w:pPr>
              <w:jc w:val="left"/>
              <w:rPr>
                <w:rFonts w:ascii="Arial" w:hAnsi="Arial" w:cs="Arial"/>
                <w:b w:val="0"/>
              </w:rPr>
            </w:pPr>
          </w:p>
          <w:p w:rsidR="00255E89" w:rsidRPr="00306F5A" w:rsidRDefault="00255E89" w:rsidP="00255E89">
            <w:pPr>
              <w:jc w:val="left"/>
              <w:rPr>
                <w:rFonts w:ascii="Arial" w:hAnsi="Arial" w:cs="Arial"/>
                <w:b w:val="0"/>
              </w:rPr>
            </w:pPr>
          </w:p>
          <w:p w:rsidR="00255E89" w:rsidRPr="00306F5A" w:rsidRDefault="00255E89" w:rsidP="00255E89">
            <w:pPr>
              <w:jc w:val="left"/>
              <w:rPr>
                <w:rFonts w:ascii="Arial" w:hAnsi="Arial" w:cs="Arial"/>
                <w:b w:val="0"/>
              </w:rPr>
            </w:pPr>
          </w:p>
          <w:p w:rsidR="00255E89" w:rsidRPr="00306F5A" w:rsidRDefault="00255E89" w:rsidP="00255E89">
            <w:pPr>
              <w:jc w:val="left"/>
              <w:rPr>
                <w:rFonts w:ascii="Arial" w:hAnsi="Arial" w:cs="Arial"/>
                <w:b w:val="0"/>
              </w:rPr>
            </w:pPr>
          </w:p>
        </w:tc>
        <w:tc>
          <w:tcPr>
            <w:tcW w:w="2041"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Commercial Grade Dedication Training utilizing the new DOE CGD Handbook.</w:t>
            </w:r>
          </w:p>
        </w:tc>
        <w:tc>
          <w:tcPr>
            <w:tcW w:w="1722" w:type="pct"/>
            <w:tcBorders>
              <w:lef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 xml:space="preserve">Develop new or revise existing Commercial Grade Dedication Training based on Commercial Grade Dedication handbook and industry </w:t>
            </w:r>
            <w:r w:rsidR="00254AFD">
              <w:rPr>
                <w:rFonts w:ascii="Arial" w:hAnsi="Arial" w:cs="Arial"/>
              </w:rPr>
              <w:t>Best Practice</w:t>
            </w:r>
            <w:r w:rsidRPr="00306F5A">
              <w:rPr>
                <w:rFonts w:ascii="Arial" w:hAnsi="Arial" w:cs="Arial"/>
              </w:rPr>
              <w:t>s.</w:t>
            </w:r>
            <w:r w:rsidR="004E5050" w:rsidRPr="00306F5A">
              <w:rPr>
                <w:rFonts w:ascii="Arial" w:hAnsi="Arial" w:cs="Arial"/>
              </w:rPr>
              <w:t xml:space="preserve"> **</w:t>
            </w:r>
          </w:p>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255E89" w:rsidRPr="00306F5A" w:rsidRDefault="00255E89" w:rsidP="000B5191">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Evaluate use of or incorporation into a web-based course from the DOE National Training site.</w:t>
            </w: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rPr>
            </w:pPr>
            <w:r w:rsidRPr="00306F5A">
              <w:rPr>
                <w:rFonts w:ascii="Arial" w:hAnsi="Arial" w:cs="Arial"/>
                <w:b w:val="0"/>
              </w:rPr>
              <w:t>MASL Cost Avoidance – How do we get additional Cost Avoidances identified</w:t>
            </w:r>
          </w:p>
          <w:p w:rsidR="00255E89" w:rsidRPr="00306F5A" w:rsidRDefault="00255E89" w:rsidP="00255E89">
            <w:pPr>
              <w:jc w:val="left"/>
              <w:rPr>
                <w:rFonts w:ascii="Arial" w:hAnsi="Arial" w:cs="Arial"/>
                <w:b w:val="0"/>
              </w:rPr>
            </w:pPr>
          </w:p>
        </w:tc>
        <w:tc>
          <w:tcPr>
            <w:tcW w:w="2041"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Develop method to increase use of and input of data that more closely provides the cost savings obtained by use of the MASL tool.</w:t>
            </w:r>
          </w:p>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722" w:type="pct"/>
            <w:tcBorders>
              <w:lef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Develop method to increase use of MASL cost savings tool.</w:t>
            </w:r>
          </w:p>
        </w:tc>
      </w:tr>
      <w:tr w:rsidR="00255E89" w:rsidRPr="00306F5A" w:rsidTr="00387DF7">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rPr>
            </w:pPr>
            <w:r w:rsidRPr="00306F5A">
              <w:rPr>
                <w:rFonts w:ascii="Arial" w:hAnsi="Arial" w:cs="Arial"/>
                <w:b w:val="0"/>
              </w:rPr>
              <w:t xml:space="preserve">DOE EM Single Approved Supplier List </w:t>
            </w:r>
            <w:r w:rsidR="00BB3C51" w:rsidRPr="00306F5A">
              <w:rPr>
                <w:rFonts w:ascii="Arial" w:hAnsi="Arial" w:cs="Arial"/>
                <w:b w:val="0"/>
              </w:rPr>
              <w:t>*</w:t>
            </w:r>
          </w:p>
          <w:p w:rsidR="00255E89" w:rsidRPr="00306F5A" w:rsidRDefault="00255E89" w:rsidP="00255E89">
            <w:pPr>
              <w:jc w:val="left"/>
              <w:rPr>
                <w:rFonts w:ascii="Arial" w:hAnsi="Arial" w:cs="Arial"/>
                <w:b w:val="0"/>
              </w:rPr>
            </w:pPr>
          </w:p>
          <w:p w:rsidR="00255E89" w:rsidRPr="00306F5A" w:rsidRDefault="00255E89" w:rsidP="00255E89">
            <w:pPr>
              <w:jc w:val="left"/>
              <w:rPr>
                <w:rFonts w:ascii="Arial" w:hAnsi="Arial" w:cs="Arial"/>
                <w:b w:val="0"/>
                <w:bCs w:val="0"/>
              </w:rPr>
            </w:pPr>
          </w:p>
          <w:p w:rsidR="00255E89" w:rsidRPr="00306F5A" w:rsidRDefault="00255E89" w:rsidP="00255E89">
            <w:pPr>
              <w:jc w:val="left"/>
              <w:rPr>
                <w:rFonts w:ascii="Arial" w:hAnsi="Arial" w:cs="Arial"/>
                <w:b w:val="0"/>
                <w:bCs w:val="0"/>
              </w:rPr>
            </w:pPr>
          </w:p>
          <w:p w:rsidR="00255E89" w:rsidRPr="00306F5A" w:rsidRDefault="00255E89" w:rsidP="00255E89">
            <w:pPr>
              <w:jc w:val="left"/>
              <w:rPr>
                <w:rFonts w:ascii="Arial" w:hAnsi="Arial" w:cs="Arial"/>
                <w:b w:val="0"/>
                <w:bCs w:val="0"/>
              </w:rPr>
            </w:pPr>
          </w:p>
          <w:p w:rsidR="00255E89" w:rsidRPr="00306F5A" w:rsidRDefault="00255E89" w:rsidP="00255E89">
            <w:pPr>
              <w:jc w:val="left"/>
              <w:rPr>
                <w:rFonts w:ascii="Arial" w:hAnsi="Arial" w:cs="Arial"/>
                <w:b w:val="0"/>
                <w:bCs w:val="0"/>
              </w:rPr>
            </w:pPr>
          </w:p>
          <w:p w:rsidR="00255E89" w:rsidRPr="00306F5A" w:rsidRDefault="00255E89" w:rsidP="00255E89">
            <w:pPr>
              <w:jc w:val="left"/>
              <w:rPr>
                <w:rFonts w:ascii="Arial" w:hAnsi="Arial" w:cs="Arial"/>
                <w:b w:val="0"/>
                <w:bCs w:val="0"/>
              </w:rPr>
            </w:pPr>
          </w:p>
          <w:p w:rsidR="00255E89" w:rsidRPr="00306F5A" w:rsidRDefault="00255E89" w:rsidP="00255E89">
            <w:pPr>
              <w:jc w:val="left"/>
              <w:rPr>
                <w:rFonts w:ascii="Arial" w:hAnsi="Arial" w:cs="Arial"/>
                <w:b w:val="0"/>
                <w:bCs w:val="0"/>
              </w:rPr>
            </w:pPr>
          </w:p>
          <w:p w:rsidR="00255E89" w:rsidRPr="00306F5A" w:rsidRDefault="00255E89" w:rsidP="00255E89">
            <w:pPr>
              <w:jc w:val="left"/>
              <w:rPr>
                <w:rFonts w:ascii="Arial" w:hAnsi="Arial" w:cs="Arial"/>
                <w:b w:val="0"/>
              </w:rPr>
            </w:pPr>
          </w:p>
        </w:tc>
        <w:tc>
          <w:tcPr>
            <w:tcW w:w="2041"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Provide recommendations to develop and maintain a single list of approved NQA-1 and Commercial Grade suppliers for use at DOE EM facilities.  As a minimum, the list should support EM facilities, but may include all of DOE. Provide recommendations on how to proceed with use of a complex wide EM approved supplier list. The recommendation should address the actions needed to allow contractors to use and maintain the list, contractual considerations, DOE endorsement, procedures, lead auditor certification, and conduct of supplier audits.</w:t>
            </w:r>
          </w:p>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22" w:type="pct"/>
            <w:tcBorders>
              <w:left w:val="single" w:sz="8" w:space="0" w:color="4F81BD"/>
            </w:tcBorders>
          </w:tcPr>
          <w:p w:rsidR="004E5050"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 xml:space="preserve">Evaluate and develop implementation strategy to implement MASL improvements identified in the EFCOG Safety Working Group Chair report from the August 2017 meeting. Implement recommendations as they apply to the QA Subgroup. </w:t>
            </w:r>
          </w:p>
          <w:p w:rsidR="004E5050" w:rsidRPr="00306F5A" w:rsidRDefault="004E5050"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255E89" w:rsidRPr="00306F5A" w:rsidRDefault="00BB3C51"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Add an additional task to identify common suppliers for NNSA sites.</w:t>
            </w:r>
            <w:r w:rsidR="004E5050" w:rsidRPr="00306F5A">
              <w:rPr>
                <w:rFonts w:ascii="Arial" w:hAnsi="Arial" w:cs="Arial"/>
              </w:rPr>
              <w:t>*</w:t>
            </w:r>
            <w:r w:rsidRPr="00306F5A">
              <w:rPr>
                <w:rFonts w:ascii="Arial" w:hAnsi="Arial" w:cs="Arial"/>
              </w:rPr>
              <w:t xml:space="preserve"> </w:t>
            </w:r>
          </w:p>
          <w:p w:rsidR="00255E89" w:rsidRPr="00306F5A" w:rsidRDefault="00255E89" w:rsidP="00255E89">
            <w:pPr>
              <w:keepNext/>
              <w:widowControl w:val="0"/>
              <w:jc w:val="left"/>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bCs w:val="0"/>
              </w:rPr>
            </w:pPr>
            <w:r w:rsidRPr="00306F5A">
              <w:rPr>
                <w:rFonts w:ascii="Arial" w:hAnsi="Arial" w:cs="Arial"/>
                <w:b w:val="0"/>
              </w:rPr>
              <w:t>Foreign National / Sensitive Information Supplemental Checklist</w:t>
            </w:r>
          </w:p>
          <w:p w:rsidR="00255E89" w:rsidRPr="00306F5A" w:rsidRDefault="00255E89" w:rsidP="00255E89">
            <w:pPr>
              <w:jc w:val="left"/>
              <w:rPr>
                <w:rFonts w:ascii="Arial" w:hAnsi="Arial" w:cs="Arial"/>
                <w:b w:val="0"/>
                <w:bCs w:val="0"/>
              </w:rPr>
            </w:pPr>
          </w:p>
          <w:p w:rsidR="00255E89" w:rsidRPr="00306F5A" w:rsidRDefault="00255E89" w:rsidP="00255E89">
            <w:pPr>
              <w:jc w:val="left"/>
              <w:rPr>
                <w:rFonts w:ascii="Arial" w:hAnsi="Arial" w:cs="Arial"/>
                <w:b w:val="0"/>
              </w:rPr>
            </w:pPr>
          </w:p>
        </w:tc>
        <w:tc>
          <w:tcPr>
            <w:tcW w:w="2041"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Identify additional Lines of Inquiry (LOIs) that should be added particularly for weapons suppliers, to protect the integrity of the NSE Weapons Complex sensitive information.</w:t>
            </w:r>
          </w:p>
        </w:tc>
        <w:tc>
          <w:tcPr>
            <w:tcW w:w="1722" w:type="pct"/>
            <w:tcBorders>
              <w:lef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Develop checklist questions to ask suppliers and a guidance document for how to address dissemination of information.</w:t>
            </w:r>
          </w:p>
        </w:tc>
      </w:tr>
      <w:tr w:rsidR="00255E89" w:rsidRPr="00306F5A" w:rsidTr="000E2355">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bottom w:val="nil"/>
              <w:right w:val="single" w:sz="8" w:space="0" w:color="4F81BD"/>
            </w:tcBorders>
          </w:tcPr>
          <w:p w:rsidR="00255E89" w:rsidRPr="00306F5A" w:rsidRDefault="00255E89" w:rsidP="00255E89">
            <w:pPr>
              <w:jc w:val="left"/>
              <w:rPr>
                <w:rFonts w:ascii="Arial" w:hAnsi="Arial" w:cs="Arial"/>
                <w:b w:val="0"/>
              </w:rPr>
            </w:pPr>
            <w:r w:rsidRPr="00306F5A">
              <w:rPr>
                <w:rFonts w:ascii="Arial" w:hAnsi="Arial" w:cs="Arial"/>
                <w:b w:val="0"/>
              </w:rPr>
              <w:t>NRC vs. DOE Safety Classification and the Resultant NQA-1 Acceptance Requirements</w:t>
            </w:r>
          </w:p>
          <w:p w:rsidR="00255E89" w:rsidRPr="00306F5A" w:rsidRDefault="00255E89" w:rsidP="00255E89">
            <w:pPr>
              <w:jc w:val="left"/>
              <w:rPr>
                <w:rFonts w:ascii="Arial" w:hAnsi="Arial" w:cs="Arial"/>
                <w:b w:val="0"/>
              </w:rPr>
            </w:pPr>
          </w:p>
          <w:p w:rsidR="00255E89" w:rsidRPr="00306F5A" w:rsidRDefault="00255E89" w:rsidP="00255E89">
            <w:pPr>
              <w:jc w:val="left"/>
              <w:rPr>
                <w:rFonts w:ascii="Arial" w:hAnsi="Arial" w:cs="Arial"/>
                <w:b w:val="0"/>
              </w:rPr>
            </w:pPr>
          </w:p>
        </w:tc>
        <w:tc>
          <w:tcPr>
            <w:tcW w:w="2041" w:type="pct"/>
            <w:tcBorders>
              <w:left w:val="single" w:sz="8" w:space="0" w:color="4F81BD"/>
              <w:bottom w:val="nil"/>
              <w:right w:val="single" w:sz="8" w:space="0" w:color="4F81BD"/>
            </w:tcBorders>
          </w:tcPr>
          <w:p w:rsidR="00255E89" w:rsidRPr="00306F5A" w:rsidRDefault="00255E89" w:rsidP="00255E89">
            <w:pPr>
              <w:tabs>
                <w:tab w:val="left" w:pos="1035"/>
              </w:tabs>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 xml:space="preserve">Benchmark NRC/Nuclear Utility safety classification vs DOE safety classification and where CGD applies to the respective NRC/Nuclear Utility and DOE classification. White </w:t>
            </w:r>
            <w:r w:rsidR="00A40FFF">
              <w:rPr>
                <w:rFonts w:ascii="Arial" w:hAnsi="Arial" w:cs="Arial"/>
              </w:rPr>
              <w:t>P</w:t>
            </w:r>
            <w:r w:rsidRPr="00306F5A">
              <w:rPr>
                <w:rFonts w:ascii="Arial" w:hAnsi="Arial" w:cs="Arial"/>
              </w:rPr>
              <w:t>aper with recommendations based on the outcome of the study</w:t>
            </w:r>
          </w:p>
        </w:tc>
        <w:tc>
          <w:tcPr>
            <w:tcW w:w="1722" w:type="pct"/>
            <w:tcBorders>
              <w:left w:val="single" w:sz="8" w:space="0" w:color="4F81BD"/>
              <w:bottom w:val="nil"/>
            </w:tcBorders>
          </w:tcPr>
          <w:p w:rsidR="00255E89" w:rsidRPr="00306F5A" w:rsidRDefault="00255E89" w:rsidP="00C9031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White Paper</w:t>
            </w: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rPr>
            </w:pPr>
            <w:r w:rsidRPr="00306F5A">
              <w:rPr>
                <w:rFonts w:ascii="Arial" w:hAnsi="Arial" w:cs="Arial"/>
                <w:b w:val="0"/>
              </w:rPr>
              <w:t>NQA-1 Requirements 3, 4 and 7 crosswalks to NQA-1 Subpart 2.14 and NAP 24-A</w:t>
            </w:r>
          </w:p>
        </w:tc>
        <w:tc>
          <w:tcPr>
            <w:tcW w:w="2041" w:type="pct"/>
            <w:tcBorders>
              <w:left w:val="single" w:sz="8" w:space="0" w:color="4F81BD"/>
              <w:right w:val="single" w:sz="8" w:space="0" w:color="4F81BD"/>
            </w:tcBorders>
          </w:tcPr>
          <w:p w:rsidR="00255E89" w:rsidRPr="00306F5A" w:rsidRDefault="00255E89" w:rsidP="00255E89">
            <w:pPr>
              <w:tabs>
                <w:tab w:val="left" w:pos="1035"/>
              </w:tabs>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color w:val="000000"/>
              </w:rPr>
              <w:t>This task will perform a cross walk in engineering, procurement acceptance requirements between the primary method of acceptance documented in NQA-1 Requirement 3, 4, and 7 and the alternative method of procurement documented in NQA-1 Sub-part 2.14. Additionally, NAP 24-A will be compared against previous 2 sets of engineering / procurement acceptance requirements.</w:t>
            </w:r>
          </w:p>
        </w:tc>
        <w:tc>
          <w:tcPr>
            <w:tcW w:w="1722" w:type="pct"/>
            <w:tcBorders>
              <w:left w:val="single" w:sz="8" w:space="0" w:color="4F81BD"/>
            </w:tcBorders>
          </w:tcPr>
          <w:p w:rsidR="00255E89" w:rsidRPr="00306F5A" w:rsidRDefault="00255E89" w:rsidP="00C9031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White Paper</w:t>
            </w:r>
          </w:p>
        </w:tc>
      </w:tr>
      <w:tr w:rsidR="00255E89" w:rsidRPr="00306F5A" w:rsidTr="000E2355">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top w:val="nil"/>
              <w:right w:val="single" w:sz="8" w:space="0" w:color="4F81BD"/>
            </w:tcBorders>
          </w:tcPr>
          <w:p w:rsidR="00255E89" w:rsidRPr="00306F5A" w:rsidRDefault="00255E89" w:rsidP="00255E89">
            <w:pPr>
              <w:pStyle w:val="NormalWeb"/>
              <w:spacing w:before="0" w:beforeAutospacing="0" w:after="0" w:afterAutospacing="0"/>
              <w:rPr>
                <w:rFonts w:ascii="Arial" w:hAnsi="Arial" w:cs="Arial"/>
                <w:b w:val="0"/>
                <w:color w:val="000000"/>
                <w:sz w:val="20"/>
                <w:szCs w:val="20"/>
              </w:rPr>
            </w:pPr>
            <w:r w:rsidRPr="00306F5A">
              <w:rPr>
                <w:rFonts w:ascii="Arial" w:hAnsi="Arial" w:cs="Arial"/>
                <w:b w:val="0"/>
                <w:color w:val="000000"/>
                <w:sz w:val="20"/>
                <w:szCs w:val="20"/>
              </w:rPr>
              <w:t>Develop CGD Templates that consider a variety of site conditions, safety function and installed condition, to show how</w:t>
            </w:r>
          </w:p>
          <w:p w:rsidR="00255E89" w:rsidRPr="00306F5A" w:rsidRDefault="00255E89" w:rsidP="00255E89">
            <w:pPr>
              <w:pStyle w:val="NormalWeb"/>
              <w:spacing w:before="0" w:beforeAutospacing="0" w:after="0" w:afterAutospacing="0"/>
              <w:rPr>
                <w:rFonts w:ascii="Arial" w:hAnsi="Arial" w:cs="Arial"/>
                <w:b w:val="0"/>
                <w:color w:val="000000"/>
                <w:sz w:val="20"/>
                <w:szCs w:val="20"/>
              </w:rPr>
            </w:pPr>
            <w:r w:rsidRPr="00306F5A">
              <w:rPr>
                <w:rFonts w:ascii="Arial" w:hAnsi="Arial" w:cs="Arial"/>
                <w:b w:val="0"/>
                <w:color w:val="000000"/>
                <w:sz w:val="20"/>
                <w:szCs w:val="20"/>
              </w:rPr>
              <w:t>differing safety requirements effect selection of critical characteristics.</w:t>
            </w:r>
          </w:p>
          <w:p w:rsidR="00255E89" w:rsidRPr="00306F5A" w:rsidRDefault="00255E89" w:rsidP="00255E89">
            <w:pPr>
              <w:jc w:val="left"/>
              <w:rPr>
                <w:rFonts w:ascii="Arial" w:hAnsi="Arial" w:cs="Arial"/>
                <w:b w:val="0"/>
              </w:rPr>
            </w:pPr>
          </w:p>
        </w:tc>
        <w:tc>
          <w:tcPr>
            <w:tcW w:w="2041" w:type="pct"/>
            <w:tcBorders>
              <w:top w:val="nil"/>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color w:val="000000"/>
              </w:rPr>
              <w:t>The scope of this task will be to develop a CGD sample template to enable sites to demonstrate selection of critical characteristics based on the safety function and installed condition. The purpose of this task is to show that critical characteristics can vary dependent on safety function and installed condition. The long-term vision for this task is to form a library of such examples on the EFCOG website as a resource to the complex to improve efficiency and effectiveness in the implementation of their overall acceptance programs including CGD</w:t>
            </w:r>
          </w:p>
        </w:tc>
        <w:tc>
          <w:tcPr>
            <w:tcW w:w="1722" w:type="pct"/>
            <w:tcBorders>
              <w:top w:val="nil"/>
              <w:lef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Sample form</w:t>
            </w:r>
          </w:p>
        </w:tc>
      </w:tr>
      <w:tr w:rsidR="00255E89" w:rsidRPr="00306F5A" w:rsidTr="00AD5E93">
        <w:trPr>
          <w:gridBefore w:val="1"/>
          <w:wBefore w:w="5" w:type="pct"/>
        </w:trPr>
        <w:tc>
          <w:tcPr>
            <w:cnfStyle w:val="001000000000" w:firstRow="0" w:lastRow="0" w:firstColumn="1" w:lastColumn="0" w:oddVBand="0" w:evenVBand="0" w:oddHBand="0" w:evenHBand="0" w:firstRowFirstColumn="0" w:firstRowLastColumn="0" w:lastRowFirstColumn="0" w:lastRowLastColumn="0"/>
            <w:tcW w:w="4995" w:type="pct"/>
            <w:gridSpan w:val="4"/>
            <w:shd w:val="clear" w:color="auto" w:fill="DDD9C3"/>
          </w:tcPr>
          <w:p w:rsidR="00255E89" w:rsidRPr="00306F5A" w:rsidRDefault="00255E89" w:rsidP="00255E89">
            <w:pPr>
              <w:jc w:val="left"/>
              <w:rPr>
                <w:rFonts w:ascii="Arial" w:hAnsi="Arial" w:cs="Arial"/>
                <w:b w:val="0"/>
                <w:sz w:val="28"/>
                <w:lang w:bidi="ar-SA"/>
              </w:rPr>
            </w:pPr>
            <w:r w:rsidRPr="00306F5A">
              <w:rPr>
                <w:rFonts w:ascii="Arial" w:hAnsi="Arial" w:cs="Arial"/>
                <w:b w:val="0"/>
                <w:sz w:val="28"/>
                <w:lang w:bidi="ar-SA"/>
              </w:rPr>
              <w:t>5.0   Regulatory &amp; Enforcement</w:t>
            </w:r>
          </w:p>
        </w:tc>
      </w:tr>
      <w:tr w:rsidR="00255E89" w:rsidRPr="00306F5A" w:rsidTr="00387DF7">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rPr>
            </w:pPr>
            <w:r w:rsidRPr="00306F5A">
              <w:rPr>
                <w:rFonts w:ascii="Arial" w:hAnsi="Arial" w:cs="Arial"/>
                <w:b w:val="0"/>
                <w:lang w:bidi="ar-SA"/>
              </w:rPr>
              <w:t>5.1</w:t>
            </w:r>
            <w:r w:rsidRPr="00306F5A">
              <w:rPr>
                <w:rFonts w:ascii="Arial" w:hAnsi="Arial" w:cs="Arial"/>
                <w:b w:val="0"/>
              </w:rPr>
              <w:t xml:space="preserve"> Build consensus within the contractor community on technical issues with impact to nuclear safety, worker safety &amp; health, and security enforcement impact</w:t>
            </w:r>
          </w:p>
          <w:p w:rsidR="00255E89" w:rsidRPr="00306F5A" w:rsidRDefault="00255E89" w:rsidP="00255E89">
            <w:pPr>
              <w:jc w:val="left"/>
              <w:rPr>
                <w:rFonts w:ascii="Arial" w:hAnsi="Arial" w:cs="Arial"/>
                <w:b w:val="0"/>
                <w:lang w:bidi="ar-SA"/>
              </w:rPr>
            </w:pPr>
          </w:p>
        </w:tc>
        <w:tc>
          <w:tcPr>
            <w:tcW w:w="2041"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rPr>
              <w:t>Standard approach and implementation strategy to address key enforcement issues complex-wide</w:t>
            </w:r>
          </w:p>
        </w:tc>
        <w:tc>
          <w:tcPr>
            <w:tcW w:w="1722" w:type="pct"/>
            <w:tcBorders>
              <w:lef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lang w:bidi="ar-SA"/>
              </w:rPr>
              <w:t>5.1.1</w:t>
            </w:r>
            <w:r w:rsidRPr="00306F5A">
              <w:rPr>
                <w:rFonts w:ascii="Arial" w:hAnsi="Arial" w:cs="Arial"/>
              </w:rPr>
              <w:t xml:space="preserve"> Participate in a joint task team, with Office of Enforcement staff, to evaluate the path forward for the utilization of the Enforcement Guidance Supplements.</w:t>
            </w:r>
          </w:p>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5.1.2 Develop a Best Practice to provide guidance for the effective integration of the Enforcement Program and the Classified Information Security programs.</w:t>
            </w:r>
          </w:p>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p>
          <w:p w:rsidR="00255E89" w:rsidRPr="00306F5A" w:rsidRDefault="00255E89" w:rsidP="00255E89">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r>
      <w:tr w:rsidR="00255E89" w:rsidRPr="00306F5A" w:rsidTr="00387DF7">
        <w:trPr>
          <w:gridBefore w:val="1"/>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rPr>
            </w:pPr>
            <w:r w:rsidRPr="00306F5A">
              <w:rPr>
                <w:rFonts w:ascii="Arial" w:hAnsi="Arial" w:cs="Arial"/>
                <w:b w:val="0"/>
              </w:rPr>
              <w:t>5.2 Improve Enforcement Coordinator knowledge and familiarity with nuclear safety, worker safety &amp; health, and security regulations</w:t>
            </w:r>
          </w:p>
          <w:p w:rsidR="00255E89" w:rsidRPr="00306F5A" w:rsidRDefault="00255E89" w:rsidP="00255E89">
            <w:pPr>
              <w:jc w:val="left"/>
              <w:rPr>
                <w:rFonts w:ascii="Arial" w:hAnsi="Arial" w:cs="Arial"/>
                <w:lang w:bidi="ar-SA"/>
              </w:rPr>
            </w:pPr>
          </w:p>
        </w:tc>
        <w:tc>
          <w:tcPr>
            <w:tcW w:w="2041" w:type="pct"/>
            <w:tcBorders>
              <w:left w:val="single" w:sz="8" w:space="0" w:color="4F81BD"/>
              <w:righ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 xml:space="preserve">Enhanced understanding of regulatory requirements and the applicability of regulatory citations to issues being evaluated as part of the enforcement process </w:t>
            </w:r>
          </w:p>
        </w:tc>
        <w:tc>
          <w:tcPr>
            <w:tcW w:w="1722" w:type="pct"/>
            <w:tcBorders>
              <w:left w:val="single" w:sz="8" w:space="0" w:color="4F81BD"/>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rPr>
              <w:t>5.2.1. Work collaboratively with members of the SWG to develop regulatory summaries or enforcement aids for 10CFR 835.  Regulatory summary will be posted and available on the EFCOG website.</w:t>
            </w:r>
            <w:r w:rsidR="004E5050" w:rsidRPr="00306F5A">
              <w:rPr>
                <w:rFonts w:ascii="Arial" w:hAnsi="Arial" w:cs="Arial"/>
              </w:rPr>
              <w:t xml:space="preserve"> **</w:t>
            </w:r>
          </w:p>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r>
      <w:tr w:rsidR="00255E89" w:rsidRPr="00306F5A" w:rsidTr="00387DF7">
        <w:trPr>
          <w:gridBefore w:val="1"/>
          <w:cnfStyle w:val="000000100000" w:firstRow="0" w:lastRow="0" w:firstColumn="0" w:lastColumn="0" w:oddVBand="0" w:evenVBand="0" w:oddHBand="1" w:evenHBand="0" w:firstRowFirstColumn="0" w:firstRowLastColumn="0" w:lastRowFirstColumn="0" w:lastRowLastColumn="0"/>
          <w:wBefore w:w="5" w:type="pct"/>
        </w:trPr>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255E89" w:rsidRPr="00306F5A" w:rsidRDefault="00255E89" w:rsidP="00255E89">
            <w:pPr>
              <w:jc w:val="left"/>
              <w:rPr>
                <w:rFonts w:ascii="Arial" w:hAnsi="Arial" w:cs="Arial"/>
                <w:b w:val="0"/>
                <w:lang w:bidi="ar-SA"/>
              </w:rPr>
            </w:pPr>
            <w:r w:rsidRPr="00306F5A">
              <w:rPr>
                <w:rFonts w:ascii="Arial" w:hAnsi="Arial" w:cs="Arial"/>
                <w:b w:val="0"/>
              </w:rPr>
              <w:t>5.3 Improve Enforcement Coordinator knowledge of the Enforcement process and expectation</w:t>
            </w:r>
          </w:p>
        </w:tc>
        <w:tc>
          <w:tcPr>
            <w:tcW w:w="2041" w:type="pct"/>
            <w:tcBorders>
              <w:left w:val="single" w:sz="8" w:space="0" w:color="4F81BD"/>
              <w:righ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rPr>
            </w:pPr>
            <w:r w:rsidRPr="00306F5A">
              <w:rPr>
                <w:rFonts w:ascii="Arial" w:hAnsi="Arial" w:cs="Arial"/>
              </w:rPr>
              <w:t>Enhanced understanding of Enforcement requirements and expectations enabling the development of stringer Contractor Programs.</w:t>
            </w:r>
          </w:p>
        </w:tc>
        <w:tc>
          <w:tcPr>
            <w:tcW w:w="1722" w:type="pct"/>
            <w:tcBorders>
              <w:left w:val="single" w:sz="8" w:space="0" w:color="4F81BD"/>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rPr>
              <w:t xml:space="preserve">5.3.1 Work collaboratively with members of the DOE National Training Center (NTC) and the DOE Office of Enforcement to convert the existing Enforcement Coordination classroom training to Computer Based Training.  </w:t>
            </w:r>
            <w:r w:rsidR="004E5050" w:rsidRPr="00306F5A">
              <w:rPr>
                <w:rFonts w:ascii="Arial" w:hAnsi="Arial" w:cs="Arial"/>
              </w:rPr>
              <w:t>**</w:t>
            </w:r>
          </w:p>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r>
      <w:tr w:rsidR="00255E89" w:rsidRPr="00306F5A" w:rsidTr="00AD5E93">
        <w:trPr>
          <w:gridBefore w:val="1"/>
          <w:wBefore w:w="5" w:type="pct"/>
        </w:trPr>
        <w:tc>
          <w:tcPr>
            <w:cnfStyle w:val="001000000000" w:firstRow="0" w:lastRow="0" w:firstColumn="1" w:lastColumn="0" w:oddVBand="0" w:evenVBand="0" w:oddHBand="0" w:evenHBand="0" w:firstRowFirstColumn="0" w:firstRowLastColumn="0" w:lastRowFirstColumn="0" w:lastRowLastColumn="0"/>
            <w:tcW w:w="4995" w:type="pct"/>
            <w:gridSpan w:val="4"/>
            <w:shd w:val="clear" w:color="auto" w:fill="DDD9C3"/>
          </w:tcPr>
          <w:p w:rsidR="00255E89" w:rsidRPr="00306F5A" w:rsidRDefault="00255E89" w:rsidP="00255E89">
            <w:pPr>
              <w:jc w:val="left"/>
              <w:rPr>
                <w:rFonts w:ascii="Arial" w:hAnsi="Arial" w:cs="Arial"/>
                <w:b w:val="0"/>
                <w:sz w:val="28"/>
                <w:lang w:bidi="ar-SA"/>
              </w:rPr>
            </w:pPr>
            <w:r w:rsidRPr="00306F5A">
              <w:rPr>
                <w:rFonts w:ascii="Arial" w:hAnsi="Arial" w:cs="Arial"/>
                <w:b w:val="0"/>
                <w:sz w:val="28"/>
                <w:lang w:bidi="ar-SA"/>
              </w:rPr>
              <w:t>6.0   Sustainability &amp; Environment</w:t>
            </w:r>
          </w:p>
        </w:tc>
      </w:tr>
      <w:tr w:rsidR="00255E89" w:rsidRPr="00306F5A" w:rsidTr="00F56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Sustainability Score Card Improvement across DOE Complex</w:t>
            </w:r>
          </w:p>
        </w:tc>
        <w:tc>
          <w:tcPr>
            <w:tcW w:w="2046"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Guiding Principle training and </w:t>
            </w:r>
            <w:r w:rsidR="00254AFD">
              <w:rPr>
                <w:rFonts w:ascii="Arial" w:hAnsi="Arial" w:cs="Arial"/>
                <w:lang w:bidi="ar-SA"/>
              </w:rPr>
              <w:t>Best Practice</w:t>
            </w:r>
            <w:r w:rsidRPr="00306F5A">
              <w:rPr>
                <w:rFonts w:ascii="Arial" w:hAnsi="Arial" w:cs="Arial"/>
                <w:lang w:bidi="ar-SA"/>
              </w:rPr>
              <w:t xml:space="preserve"> documentation.  Provide tools and training to improve in areas including metering and commissioning where the complex is struggling with goal achievement. </w:t>
            </w:r>
          </w:p>
        </w:tc>
        <w:tc>
          <w:tcPr>
            <w:tcW w:w="1722" w:type="pct"/>
            <w:tcBorders>
              <w:top w:val="single" w:sz="4" w:space="0" w:color="auto"/>
              <w:left w:val="single" w:sz="4" w:space="0" w:color="auto"/>
              <w:bottom w:val="single" w:sz="4" w:space="0" w:color="auto"/>
              <w:right w:val="single" w:sz="4" w:space="0" w:color="auto"/>
            </w:tcBorders>
          </w:tcPr>
          <w:p w:rsidR="00255E89" w:rsidRPr="00306F5A" w:rsidRDefault="00255E89" w:rsidP="00255E89">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HPSB and Guiding Principles webinar training; provide training materials and attendee list to DOE sponsors. </w:t>
            </w:r>
            <w:r w:rsidR="00BB3C51" w:rsidRPr="00306F5A">
              <w:rPr>
                <w:rFonts w:ascii="Arial" w:hAnsi="Arial" w:cs="Arial"/>
                <w:lang w:bidi="ar-SA"/>
              </w:rPr>
              <w:t>**</w:t>
            </w:r>
          </w:p>
          <w:p w:rsidR="00255E89" w:rsidRPr="00306F5A" w:rsidRDefault="00255E89" w:rsidP="00255E89">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Virtual metering webinar and document </w:t>
            </w:r>
            <w:r w:rsidR="00254AFD">
              <w:rPr>
                <w:rFonts w:ascii="Arial" w:hAnsi="Arial" w:cs="Arial"/>
                <w:lang w:bidi="ar-SA"/>
              </w:rPr>
              <w:t>Best Practice</w:t>
            </w:r>
            <w:r w:rsidRPr="00306F5A">
              <w:rPr>
                <w:rFonts w:ascii="Arial" w:hAnsi="Arial" w:cs="Arial"/>
                <w:lang w:bidi="ar-SA"/>
              </w:rPr>
              <w:t>s.</w:t>
            </w:r>
          </w:p>
        </w:tc>
      </w:tr>
      <w:tr w:rsidR="00255E89" w:rsidRPr="00306F5A" w:rsidTr="00F56101">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Better Buildings coordination</w:t>
            </w:r>
          </w:p>
        </w:tc>
        <w:tc>
          <w:tcPr>
            <w:tcW w:w="2046"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rPr>
              <w:t>Identify how SESG can serve to support the DOE facility advancement of Smart labs and HPC practices and link it up to the IH needs and drivers in the Worker Health and Safety Group.</w:t>
            </w:r>
          </w:p>
        </w:tc>
        <w:tc>
          <w:tcPr>
            <w:tcW w:w="1722" w:type="pct"/>
            <w:tcBorders>
              <w:top w:val="single" w:sz="4" w:space="0" w:color="auto"/>
              <w:left w:val="single" w:sz="4" w:space="0" w:color="auto"/>
              <w:bottom w:val="single" w:sz="4" w:space="0" w:color="auto"/>
              <w:right w:val="single" w:sz="4" w:space="0" w:color="auto"/>
            </w:tcBorders>
          </w:tcPr>
          <w:p w:rsidR="00255E89" w:rsidRPr="00306F5A" w:rsidRDefault="00255E89" w:rsidP="0052314A">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ANL Smart Labs Workshop in November 2019. Share lessons learned and document </w:t>
            </w:r>
            <w:r w:rsidR="00254AFD">
              <w:rPr>
                <w:rFonts w:ascii="Arial" w:hAnsi="Arial" w:cs="Arial"/>
                <w:lang w:bidi="ar-SA"/>
              </w:rPr>
              <w:t>Best Practice</w:t>
            </w:r>
            <w:r w:rsidRPr="00306F5A">
              <w:rPr>
                <w:rFonts w:ascii="Arial" w:hAnsi="Arial" w:cs="Arial"/>
                <w:lang w:bidi="ar-SA"/>
              </w:rPr>
              <w:t xml:space="preserve">s.  </w:t>
            </w:r>
          </w:p>
          <w:p w:rsidR="00255E89" w:rsidRPr="00306F5A" w:rsidRDefault="00255E89" w:rsidP="00255E89">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Attend one of the annual Worker, Health, and Safety Sub-Group meetings to discuss Smart Lab elements.  Document </w:t>
            </w:r>
            <w:r w:rsidR="00254AFD">
              <w:rPr>
                <w:rFonts w:ascii="Arial" w:hAnsi="Arial" w:cs="Arial"/>
                <w:lang w:bidi="ar-SA"/>
              </w:rPr>
              <w:t>Best Practice</w:t>
            </w:r>
            <w:r w:rsidRPr="00306F5A">
              <w:rPr>
                <w:rFonts w:ascii="Arial" w:hAnsi="Arial" w:cs="Arial"/>
                <w:lang w:bidi="ar-SA"/>
              </w:rPr>
              <w:t>s.</w:t>
            </w:r>
          </w:p>
        </w:tc>
      </w:tr>
      <w:tr w:rsidR="00255E89" w:rsidRPr="00306F5A" w:rsidTr="00F56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Support AU-21’s Sustainable Campus Initiative</w:t>
            </w:r>
          </w:p>
        </w:tc>
        <w:tc>
          <w:tcPr>
            <w:tcW w:w="2046"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Identify areas for SESG support in this initiative.</w:t>
            </w:r>
          </w:p>
        </w:tc>
        <w:tc>
          <w:tcPr>
            <w:tcW w:w="1722" w:type="pct"/>
            <w:tcBorders>
              <w:top w:val="single" w:sz="4" w:space="0" w:color="auto"/>
              <w:left w:val="single" w:sz="4" w:space="0" w:color="auto"/>
              <w:bottom w:val="single" w:sz="4" w:space="0" w:color="auto"/>
              <w:right w:val="single" w:sz="4" w:space="0" w:color="auto"/>
            </w:tcBorders>
          </w:tcPr>
          <w:p w:rsidR="00255E89" w:rsidRPr="00306F5A" w:rsidRDefault="00255E89" w:rsidP="00255E89">
            <w:pPr>
              <w:spacing w:after="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Pilot program description document.</w:t>
            </w:r>
          </w:p>
        </w:tc>
      </w:tr>
      <w:tr w:rsidR="00255E89" w:rsidRPr="00306F5A" w:rsidTr="00F56101">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Maintenance Coordination</w:t>
            </w:r>
          </w:p>
        </w:tc>
        <w:tc>
          <w:tcPr>
            <w:tcW w:w="2046"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lang w:bidi="ar-SA"/>
              </w:rPr>
              <w:t>Increase energy and water efficiency by working with Maintenance Managers across the complex.</w:t>
            </w:r>
          </w:p>
        </w:tc>
        <w:tc>
          <w:tcPr>
            <w:tcW w:w="1722" w:type="pct"/>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Document </w:t>
            </w:r>
            <w:r w:rsidR="00254AFD">
              <w:rPr>
                <w:rFonts w:ascii="Arial" w:hAnsi="Arial" w:cs="Arial"/>
                <w:lang w:bidi="ar-SA"/>
              </w:rPr>
              <w:t>Best Practice</w:t>
            </w:r>
            <w:r w:rsidRPr="00306F5A">
              <w:rPr>
                <w:rFonts w:ascii="Arial" w:hAnsi="Arial" w:cs="Arial"/>
                <w:lang w:bidi="ar-SA"/>
              </w:rPr>
              <w:t xml:space="preserve">s when leveraging energy analytics software to enhance predictive maintenance in facilities. </w:t>
            </w:r>
          </w:p>
        </w:tc>
      </w:tr>
      <w:tr w:rsidR="00255E89" w:rsidRPr="00306F5A" w:rsidTr="00F56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rPr>
                <w:rFonts w:ascii="Arial" w:hAnsi="Arial" w:cs="Arial"/>
                <w:b w:val="0"/>
                <w:lang w:bidi="ar-SA"/>
              </w:rPr>
            </w:pPr>
            <w:r w:rsidRPr="00306F5A">
              <w:rPr>
                <w:rFonts w:ascii="Arial" w:hAnsi="Arial" w:cs="Arial"/>
                <w:b w:val="0"/>
                <w:lang w:bidi="ar-SA"/>
              </w:rPr>
              <w:t>Resilience</w:t>
            </w:r>
          </w:p>
        </w:tc>
        <w:tc>
          <w:tcPr>
            <w:tcW w:w="2046" w:type="pct"/>
            <w:gridSpan w:val="2"/>
            <w:tcBorders>
              <w:top w:val="single" w:sz="4" w:space="0" w:color="auto"/>
              <w:left w:val="single" w:sz="4" w:space="0" w:color="auto"/>
              <w:bottom w:val="single" w:sz="4" w:space="0" w:color="auto"/>
              <w:right w:val="single" w:sz="4" w:space="0" w:color="auto"/>
            </w:tcBorders>
          </w:tcPr>
          <w:p w:rsidR="00255E89" w:rsidRPr="00306F5A" w:rsidRDefault="00255E89" w:rsidP="00255E89">
            <w:pPr>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Visual representation of </w:t>
            </w:r>
            <w:r w:rsidR="0004646B" w:rsidRPr="00306F5A">
              <w:rPr>
                <w:rFonts w:ascii="Arial" w:hAnsi="Arial" w:cs="Arial"/>
                <w:lang w:bidi="ar-SA"/>
              </w:rPr>
              <w:t>status</w:t>
            </w:r>
            <w:r w:rsidRPr="00306F5A">
              <w:rPr>
                <w:rFonts w:ascii="Arial" w:hAnsi="Arial" w:cs="Arial"/>
                <w:lang w:bidi="ar-SA"/>
              </w:rPr>
              <w:t xml:space="preserve"> and needed improvements in the area of resilience.</w:t>
            </w:r>
          </w:p>
        </w:tc>
        <w:tc>
          <w:tcPr>
            <w:tcW w:w="1722" w:type="pct"/>
            <w:tcBorders>
              <w:top w:val="single" w:sz="4" w:space="0" w:color="auto"/>
              <w:left w:val="single" w:sz="4" w:space="0" w:color="auto"/>
              <w:bottom w:val="single" w:sz="4" w:space="0" w:color="auto"/>
              <w:right w:val="single" w:sz="4" w:space="0" w:color="auto"/>
            </w:tcBorders>
          </w:tcPr>
          <w:p w:rsidR="00255E89" w:rsidRPr="00306F5A" w:rsidRDefault="00255E89" w:rsidP="00255E8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Identify Labs that can pilot the Reliance Metric Scorecard Tool to provide visual representation of current status and needed improvement.  Document </w:t>
            </w:r>
            <w:r w:rsidR="00254AFD">
              <w:rPr>
                <w:rFonts w:ascii="Arial" w:hAnsi="Arial" w:cs="Arial"/>
                <w:lang w:bidi="ar-SA"/>
              </w:rPr>
              <w:t>Best Practice</w:t>
            </w:r>
            <w:r w:rsidRPr="00306F5A">
              <w:rPr>
                <w:rFonts w:ascii="Arial" w:hAnsi="Arial" w:cs="Arial"/>
                <w:lang w:bidi="ar-SA"/>
              </w:rPr>
              <w:t xml:space="preserve">s.  </w:t>
            </w:r>
          </w:p>
        </w:tc>
      </w:tr>
      <w:tr w:rsidR="00255E89" w:rsidRPr="00306F5A" w:rsidTr="00F56101">
        <w:tc>
          <w:tcPr>
            <w:cnfStyle w:val="001000000000" w:firstRow="0" w:lastRow="0" w:firstColumn="1" w:lastColumn="0" w:oddVBand="0" w:evenVBand="0" w:oddHBand="0" w:evenHBand="0" w:firstRowFirstColumn="0" w:firstRowLastColumn="0" w:lastRowFirstColumn="0" w:lastRowLastColumn="0"/>
            <w:tcW w:w="5000" w:type="pct"/>
            <w:gridSpan w:val="5"/>
            <w:tcBorders>
              <w:top w:val="single" w:sz="4" w:space="0" w:color="auto"/>
            </w:tcBorders>
            <w:shd w:val="clear" w:color="auto" w:fill="DDD9C3"/>
          </w:tcPr>
          <w:p w:rsidR="00255E89" w:rsidRPr="00306F5A" w:rsidRDefault="00255E89" w:rsidP="00255E89">
            <w:pPr>
              <w:jc w:val="left"/>
              <w:rPr>
                <w:rFonts w:ascii="Arial" w:hAnsi="Arial" w:cs="Arial"/>
                <w:b w:val="0"/>
                <w:sz w:val="28"/>
                <w:lang w:bidi="ar-SA"/>
              </w:rPr>
            </w:pPr>
            <w:r w:rsidRPr="00306F5A">
              <w:rPr>
                <w:rFonts w:ascii="Arial" w:hAnsi="Arial" w:cs="Arial"/>
                <w:b w:val="0"/>
                <w:sz w:val="28"/>
                <w:lang w:bidi="ar-SA"/>
              </w:rPr>
              <w:t xml:space="preserve">7.0   </w:t>
            </w:r>
            <w:r w:rsidRPr="00306F5A">
              <w:rPr>
                <w:rFonts w:ascii="Arial" w:hAnsi="Arial" w:cs="Arial"/>
                <w:b w:val="0"/>
                <w:sz w:val="28"/>
                <w:szCs w:val="28"/>
                <w:lang w:bidi="ar-SA"/>
              </w:rPr>
              <w:t>Worker Safety &amp; Health Subgroup</w:t>
            </w:r>
          </w:p>
        </w:tc>
      </w:tr>
      <w:tr w:rsidR="00255E89"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AEEF3" w:themeFill="accent5" w:themeFillTint="33"/>
          </w:tcPr>
          <w:p w:rsidR="00255E89" w:rsidRPr="00306F5A" w:rsidRDefault="00255E89" w:rsidP="00255E89">
            <w:pPr>
              <w:tabs>
                <w:tab w:val="left" w:pos="5235"/>
              </w:tabs>
              <w:jc w:val="left"/>
              <w:rPr>
                <w:rFonts w:ascii="Arial" w:hAnsi="Arial" w:cs="Arial"/>
                <w:b w:val="0"/>
                <w:lang w:bidi="ar-SA"/>
              </w:rPr>
            </w:pPr>
            <w:r w:rsidRPr="00306F5A">
              <w:rPr>
                <w:rFonts w:ascii="Arial" w:hAnsi="Arial" w:cs="Arial"/>
                <w:b w:val="0"/>
                <w:lang w:bidi="ar-SA"/>
              </w:rPr>
              <w:t>Radiation Protec</w:t>
            </w:r>
            <w:r w:rsidRPr="00306F5A">
              <w:rPr>
                <w:rFonts w:ascii="Arial" w:hAnsi="Arial" w:cs="Arial"/>
                <w:b w:val="0"/>
                <w:shd w:val="clear" w:color="auto" w:fill="DAEEF3" w:themeFill="accent5" w:themeFillTint="33"/>
                <w:lang w:bidi="ar-SA"/>
              </w:rPr>
              <w:t xml:space="preserve">tion Task Group </w:t>
            </w:r>
            <w:r w:rsidRPr="00306F5A">
              <w:rPr>
                <w:rFonts w:ascii="Arial" w:hAnsi="Arial" w:cs="Arial"/>
                <w:b w:val="0"/>
                <w:shd w:val="clear" w:color="auto" w:fill="DAEEF3" w:themeFill="accent5" w:themeFillTint="33"/>
                <w:lang w:bidi="ar-SA"/>
              </w:rPr>
              <w:tab/>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right w:val="single" w:sz="8" w:space="0" w:color="4F81BD"/>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7.1 Provide recommendations to AU-11 on adoption of ICRP Lens of the Eye dose limits</w:t>
            </w:r>
          </w:p>
          <w:p w:rsidR="00143946" w:rsidRPr="00306F5A" w:rsidRDefault="00143946" w:rsidP="00143946">
            <w:pPr>
              <w:jc w:val="left"/>
              <w:rPr>
                <w:rFonts w:ascii="Arial" w:hAnsi="Arial" w:cs="Arial"/>
                <w:b w:val="0"/>
                <w:lang w:bidi="ar-SA"/>
              </w:rPr>
            </w:pPr>
          </w:p>
        </w:tc>
        <w:tc>
          <w:tcPr>
            <w:tcW w:w="2046" w:type="pct"/>
            <w:gridSpan w:val="2"/>
            <w:tcBorders>
              <w:left w:val="single" w:sz="8" w:space="0" w:color="4F81BD"/>
              <w:bottom w:val="single" w:sz="4" w:space="0" w:color="auto"/>
              <w:right w:val="single" w:sz="8" w:space="0" w:color="4F81BD"/>
            </w:tcBorders>
          </w:tcPr>
          <w:p w:rsidR="00143946" w:rsidRPr="00306F5A" w:rsidRDefault="00143946" w:rsidP="0052314A">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This issue has the possibility of greatly affecting the current external dose monitoring schemes, work planning requirements and protective equipment use.</w:t>
            </w:r>
          </w:p>
          <w:p w:rsidR="00143946" w:rsidRPr="00306F5A" w:rsidRDefault="00143946" w:rsidP="0052314A">
            <w:pPr>
              <w:spacing w:before="120"/>
              <w:jc w:val="left"/>
              <w:cnfStyle w:val="000000000000" w:firstRow="0" w:lastRow="0" w:firstColumn="0" w:lastColumn="0" w:oddVBand="0" w:evenVBand="0" w:oddHBand="0" w:evenHBand="0" w:firstRowFirstColumn="0" w:firstRowLastColumn="0" w:lastRowFirstColumn="0" w:lastRowLastColumn="0"/>
              <w:rPr>
                <w:rFonts w:ascii="Arial" w:hAnsi="Arial" w:cs="Arial"/>
              </w:rPr>
            </w:pPr>
            <w:r w:rsidRPr="00306F5A">
              <w:rPr>
                <w:rFonts w:ascii="Arial" w:hAnsi="Arial" w:cs="Arial"/>
                <w:lang w:bidi="ar-SA"/>
              </w:rPr>
              <w:t>The costs possibly incurred by a change would be significant to the complex and must be carefully considered before adoption.</w:t>
            </w:r>
          </w:p>
        </w:tc>
        <w:tc>
          <w:tcPr>
            <w:tcW w:w="1722" w:type="pct"/>
            <w:tcBorders>
              <w:left w:val="single" w:sz="8" w:space="0" w:color="4F81BD"/>
            </w:tcBorders>
          </w:tcPr>
          <w:p w:rsidR="00143946" w:rsidRPr="00306F5A" w:rsidRDefault="00143946" w:rsidP="00143946">
            <w:pPr>
              <w:spacing w:after="120"/>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7.1.1 Provide a recommendation paper to AU-11 on adoption of the ICRP eye dose limits.</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7.2 Assist the DOE National Training Center (NTC) in their effort to build consistent radiological worker training programs to be used complex-wide.</w:t>
            </w:r>
            <w:r w:rsidR="00A40FFF">
              <w:rPr>
                <w:rFonts w:ascii="Arial" w:hAnsi="Arial" w:cs="Arial"/>
                <w:b w:val="0"/>
                <w:lang w:bidi="ar-SA"/>
              </w:rPr>
              <w:t xml:space="preserve"> **</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rPr>
              <w:t>NTC is working with the AU-11 SME to develop recommended changes to support DOE policy and guides addressing DOE radiological training expectations.</w:t>
            </w:r>
          </w:p>
          <w:p w:rsidR="00143946" w:rsidRPr="00306F5A" w:rsidRDefault="00143946" w:rsidP="0052314A">
            <w:pPr>
              <w:spacing w:before="120"/>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By providing inputs from practitioners, EFCOG RP can help NTC build training programs/materials and DOE to formulate expectations that are practicable, meet operational </w:t>
            </w:r>
            <w:r w:rsidR="0004646B" w:rsidRPr="00306F5A">
              <w:rPr>
                <w:rFonts w:ascii="Arial" w:hAnsi="Arial" w:cs="Arial"/>
                <w:lang w:bidi="ar-SA"/>
              </w:rPr>
              <w:t>needs,</w:t>
            </w:r>
            <w:r w:rsidRPr="00306F5A">
              <w:rPr>
                <w:rFonts w:ascii="Arial" w:hAnsi="Arial" w:cs="Arial"/>
                <w:lang w:bidi="ar-SA"/>
              </w:rPr>
              <w:t xml:space="preserve"> facilitate reciprocity recognition, and that are more likely adopted by sites, thereby saving them from having to develop on their own.  </w:t>
            </w:r>
          </w:p>
        </w:tc>
        <w:tc>
          <w:tcPr>
            <w:tcW w:w="1722" w:type="pct"/>
            <w:tcBorders>
              <w:left w:val="single" w:sz="4" w:space="0" w:color="auto"/>
              <w:bottom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7.2.1 Continue to provide personnel to participate in NTC training development efforts. Regularly report progress at EFCOG meetings.**</w:t>
            </w:r>
          </w:p>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bottom w:val="single" w:sz="4" w:space="0" w:color="auto"/>
              <w:right w:val="single" w:sz="4" w:space="0" w:color="auto"/>
            </w:tcBorders>
          </w:tcPr>
          <w:p w:rsidR="00143946" w:rsidRPr="00306F5A" w:rsidRDefault="00143946" w:rsidP="0004646B">
            <w:pPr>
              <w:jc w:val="left"/>
              <w:rPr>
                <w:rFonts w:ascii="Arial" w:hAnsi="Arial" w:cs="Arial"/>
                <w:b w:val="0"/>
                <w:lang w:bidi="ar-SA"/>
              </w:rPr>
            </w:pPr>
            <w:r w:rsidRPr="00306F5A">
              <w:rPr>
                <w:rFonts w:ascii="Arial" w:hAnsi="Arial" w:cs="Arial"/>
                <w:b w:val="0"/>
                <w:lang w:bidi="ar-SA"/>
              </w:rPr>
              <w:t>7.3 Provide formal directions and continued support for the ‘Health Physics Instrumentation Committee’ (HPIC) to benefit all sites in the complex.</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The HPIC existed for many years. It is composed of mostly DOE personnel from various sites who are experts in the field of HP instrumentation. Their work generates useful information about instrument selection, application, reliability, etc. </w:t>
            </w:r>
          </w:p>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By formally providing directions to this committee, EFCOG RP can leverage their expertise to help solve common instrumentation problems and gain invaluable shared collected knowledge, efficiency, and cost savings.</w:t>
            </w:r>
          </w:p>
        </w:tc>
        <w:tc>
          <w:tcPr>
            <w:tcW w:w="1722" w:type="pct"/>
            <w:tcBorders>
              <w:left w:val="single" w:sz="4" w:space="0" w:color="auto"/>
              <w:bottom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7.3.1 Report HPIC progress at EFCOG meetings.</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7.4 Present lessons learned presentations at EFCOG RP meetings as webinars for entire DOE complex.</w:t>
            </w:r>
          </w:p>
          <w:p w:rsidR="00143946" w:rsidRPr="00306F5A" w:rsidRDefault="00143946" w:rsidP="00143946">
            <w:pPr>
              <w:jc w:val="left"/>
              <w:rPr>
                <w:rFonts w:ascii="Arial" w:hAnsi="Arial" w:cs="Arial"/>
                <w:b w:val="0"/>
                <w:lang w:bidi="ar-SA"/>
              </w:rPr>
            </w:pP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52314A">
            <w:pPr>
              <w:keepNext/>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The EFCOG RP TTG has, for many years, shared lessons learned among its members at EFCOG meetings. Presenting such information as a webinar format will allow accessibility of those in complex that do not or cannot attend meeting.</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Present at least two webinars per year.</w:t>
            </w:r>
          </w:p>
        </w:tc>
      </w:tr>
      <w:tr w:rsidR="00143946" w:rsidRPr="00306F5A" w:rsidTr="00AC4A76">
        <w:trPr>
          <w:trHeight w:val="223"/>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DAEEF3" w:themeFill="accent5" w:themeFillTint="33"/>
          </w:tcPr>
          <w:p w:rsidR="00143946" w:rsidRPr="00306F5A" w:rsidRDefault="00143946" w:rsidP="00143946">
            <w:pPr>
              <w:jc w:val="left"/>
              <w:rPr>
                <w:rFonts w:ascii="Arial" w:hAnsi="Arial" w:cs="Arial"/>
                <w:caps/>
                <w:lang w:bidi="ar-SA"/>
              </w:rPr>
            </w:pPr>
            <w:r w:rsidRPr="00306F5A">
              <w:rPr>
                <w:rFonts w:ascii="Arial" w:hAnsi="Arial" w:cs="Arial"/>
                <w:b w:val="0"/>
                <w:bCs w:val="0"/>
              </w:rPr>
              <w:t xml:space="preserve">Electrical Safety Task Group </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 xml:space="preserve">Develop &amp; publish materials for May 2020 Electrical Safety Month </w:t>
            </w:r>
            <w:r w:rsidR="00A40FFF">
              <w:rPr>
                <w:rFonts w:ascii="Arial" w:hAnsi="Arial" w:cs="Arial"/>
                <w:b w:val="0"/>
                <w:lang w:bidi="ar-SA"/>
              </w:rPr>
              <w:t>**</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Provide training materials to ensure that workers for DOE contractors are aware of changes from the 2017 to the 2020 National Electrical Code (NEC)</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Training to familiarize electricians and electrical SME with changes from the 2017 to the 2020 NEC developed in partnership with non-profit Electrical Safety Foundation, International.**</w:t>
            </w:r>
          </w:p>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p w:rsidR="00143946" w:rsidRPr="00306F5A" w:rsidRDefault="00143946" w:rsidP="00143946">
            <w:pPr>
              <w:autoSpaceDE w:val="0"/>
              <w:autoSpaceDN w:val="0"/>
              <w:adjustRightInd w:val="0"/>
              <w:jc w:val="left"/>
              <w:cnfStyle w:val="000000100000" w:firstRow="0" w:lastRow="0" w:firstColumn="0" w:lastColumn="0" w:oddVBand="0" w:evenVBand="0" w:oddHBand="1" w:evenHBand="0" w:firstRowFirstColumn="0" w:firstRowLastColumn="0" w:lastRowFirstColumn="0" w:lastRowLastColumn="0"/>
              <w:rPr>
                <w:rFonts w:ascii="Arial" w:hAnsi="Arial" w:cs="Arial"/>
                <w:bCs/>
                <w:color w:val="000000"/>
                <w:lang w:bidi="ar-SA"/>
              </w:rPr>
            </w:pPr>
            <w:r w:rsidRPr="00306F5A">
              <w:rPr>
                <w:rFonts w:ascii="Arial" w:hAnsi="Arial" w:cs="Arial"/>
                <w:lang w:bidi="ar-SA"/>
              </w:rPr>
              <w:t>Interactive training module on requirements and use of Ground Fault Circuit Interrupters (GFCIs) for a non-SME audience, reflecting changes in the 2020 NEC **</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Review and revise BP 194, DC Arc-flash Calculator for consistency with IEEE 1584-2018, Guide for Performing Arc Flash Calculations and with the latest information on photovoltaic system faults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caps/>
                <w:lang w:bidi="ar-SA"/>
              </w:rPr>
            </w:pPr>
            <w:r w:rsidRPr="00306F5A">
              <w:rPr>
                <w:rFonts w:ascii="Arial" w:hAnsi="Arial" w:cs="Arial"/>
                <w:lang w:bidi="ar-SA"/>
              </w:rPr>
              <w:t>Improve the ability of DOE Contractor electricians and electrical SMEs to evaluate, understand, and mitigate the electrical arc-flash hazards present in photovoltaic power systems.</w:t>
            </w:r>
          </w:p>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Because photovoltaic power systems have unusual characteristics when compared to other direct-current power sources, a new section of the BP 194 Arc-flash Calculator will be published to help accurately evaluate and mitigate these hazards.</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Develop and Publish Best Practice for Commercial Electric Vehicle Charging Safety</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Electric vehicles are present at most DOE laboratories and sites, whether as government-owned, </w:t>
            </w:r>
            <w:r w:rsidR="0004646B" w:rsidRPr="00306F5A">
              <w:rPr>
                <w:rFonts w:ascii="Arial" w:hAnsi="Arial" w:cs="Arial"/>
                <w:lang w:bidi="ar-SA"/>
              </w:rPr>
              <w:t>privately owned</w:t>
            </w:r>
            <w:r w:rsidRPr="00306F5A">
              <w:rPr>
                <w:rFonts w:ascii="Arial" w:hAnsi="Arial" w:cs="Arial"/>
                <w:lang w:bidi="ar-SA"/>
              </w:rPr>
              <w:t xml:space="preserve">, or as part of research and development efforts. </w:t>
            </w:r>
            <w:r w:rsidR="0004646B" w:rsidRPr="00306F5A">
              <w:rPr>
                <w:rFonts w:ascii="Arial" w:hAnsi="Arial" w:cs="Arial"/>
                <w:lang w:bidi="ar-SA"/>
              </w:rPr>
              <w:t>Correctly</w:t>
            </w:r>
            <w:r w:rsidRPr="00306F5A">
              <w:rPr>
                <w:rFonts w:ascii="Arial" w:hAnsi="Arial" w:cs="Arial"/>
                <w:lang w:bidi="ar-SA"/>
              </w:rPr>
              <w:t xml:space="preserve"> identifying and mitigating the hazards these vehicles pose will reduce risks at DOE sites.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Best Practice for Commercial Electric Vehicle Charging Safety</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Develop and Publish Best Practice for Lithium-Ion Battery Storage Systems Safety</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Lithium-ion technology is one of the more promising areas for further research and development in energy storage systems in scales ranging from facility backup power to power grid-interactive, including research taking place at DOE laboratories. Correctly identifying and mitigating the hazards these battery systems pose will reduce risks at DOE sites.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Best Practice for Lithium-Ion Battery Storage Systems Safety</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Develop and Publish Best Practice for Capacitive System Grounding Sticks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Grounding sticks have been used for decades at DOE laboratories and sites to remove stored hazardous energy from capacitors. Most labs and sites have developed this technology and procedures for using these sticks in-house. Capturing the most effective designs and procedures complex-wide will reduce risks at all DOE laboratories and sites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Best Practice for Capacitive System Grounding Sticks</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rPr>
                <w:rFonts w:ascii="Arial" w:hAnsi="Arial" w:cs="Arial"/>
                <w:b w:val="0"/>
                <w:lang w:bidi="ar-SA"/>
              </w:rPr>
            </w:pPr>
            <w:r w:rsidRPr="00306F5A">
              <w:rPr>
                <w:rFonts w:ascii="Arial" w:hAnsi="Arial" w:cs="Arial"/>
                <w:b w:val="0"/>
                <w:lang w:bidi="ar-SA"/>
              </w:rPr>
              <w:t>Expand &amp; Revise Best Practice #211 for Multiwire Branch Circuit Safety to other types of Shared Neutral Circuits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52314A">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Best Practice #211 addresses hazards that can be encountered when neutral conductors are separated in multiwire branch circuits, or MBC, (a specific type of shared-neutral circuit), which are permitted by the National Electrical Code (NEC). There are other types of shared-neutral circuits, some of which were formerly permitted by the NEC, some of which are installation errors</w:t>
            </w:r>
            <w:r w:rsidR="0052314A">
              <w:rPr>
                <w:rFonts w:ascii="Arial" w:hAnsi="Arial" w:cs="Arial"/>
                <w:lang w:bidi="ar-SA"/>
              </w:rPr>
              <w:t>,</w:t>
            </w:r>
            <w:r w:rsidRPr="00306F5A">
              <w:rPr>
                <w:rFonts w:ascii="Arial" w:hAnsi="Arial" w:cs="Arial"/>
                <w:lang w:bidi="ar-SA"/>
              </w:rPr>
              <w:t xml:space="preserve"> that can present the same severity of hazard as MBCs. This revision will expand the safe work practices in BP #211 to these other types of shared-neutral circuits.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Expanded Best Practice #211 for Multiwire Branch Circuit and Other Shared Neutral Circuit Safety</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shd w:val="clear" w:color="auto" w:fill="DAEEF3" w:themeFill="accent5" w:themeFillTint="33"/>
          </w:tcPr>
          <w:p w:rsidR="00143946" w:rsidRPr="00306F5A" w:rsidRDefault="00143946" w:rsidP="00143946">
            <w:pPr>
              <w:jc w:val="left"/>
              <w:rPr>
                <w:rFonts w:ascii="Arial" w:hAnsi="Arial" w:cs="Arial"/>
                <w:caps/>
                <w:lang w:bidi="ar-SA"/>
              </w:rPr>
            </w:pPr>
            <w:r w:rsidRPr="00306F5A">
              <w:rPr>
                <w:rFonts w:ascii="Arial" w:hAnsi="Arial" w:cs="Arial"/>
                <w:b w:val="0"/>
                <w:bCs w:val="0"/>
              </w:rPr>
              <w:t xml:space="preserve">Laser Safety Task Group </w:t>
            </w:r>
          </w:p>
        </w:tc>
        <w:tc>
          <w:tcPr>
            <w:tcW w:w="2046"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c>
          <w:tcPr>
            <w:tcW w:w="172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val="fr-FR" w:bidi="ar-SA"/>
              </w:rPr>
            </w:pP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Develop and Publish a Benchmarking Report on High-Power Laser Operations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High power laser operations are spreading across the complex and there are no real guidelines on their use</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Present findings at the 2020 DOE LSO Workshop and publish completed report to the EFCOG-LSTG web page</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Develop a DOE Laser Near Miss &amp; Accidents Database</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Though DOE does track these items, they are hard to find easily.  Creating a database helps to easily navigate the items </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Publish to the EFCOG-LSTG web page</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Develop &amp; Publish LSTG Performance Metrics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This helps to ensure workshops and meetings that are beneficial to all</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Publish to the EFCOG-LSTG web page</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rPr>
                <w:rFonts w:ascii="Arial" w:hAnsi="Arial" w:cs="Arial"/>
                <w:b w:val="0"/>
                <w:lang w:bidi="ar-SA"/>
              </w:rPr>
            </w:pPr>
            <w:r w:rsidRPr="00306F5A">
              <w:rPr>
                <w:rFonts w:ascii="Arial" w:hAnsi="Arial" w:cs="Arial"/>
                <w:b w:val="0"/>
                <w:lang w:bidi="ar-SA"/>
              </w:rPr>
              <w:t>Benchmark additional control requirements from ANSI Z136.1-2014 and Revise “Guidance on Laser Safety Requirements” documents to include these benchmarking efforts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Have collected all previous ones and put together into a DOE Laser Safety Best Practices document.  Continuing to build on this helps to ensure a </w:t>
            </w:r>
            <w:r w:rsidR="0004646B" w:rsidRPr="00306F5A">
              <w:rPr>
                <w:rFonts w:ascii="Arial" w:hAnsi="Arial" w:cs="Arial"/>
                <w:lang w:bidi="ar-SA"/>
              </w:rPr>
              <w:t>uniform</w:t>
            </w:r>
            <w:r w:rsidRPr="00306F5A">
              <w:rPr>
                <w:rFonts w:ascii="Arial" w:hAnsi="Arial" w:cs="Arial"/>
                <w:lang w:bidi="ar-SA"/>
              </w:rPr>
              <w:t xml:space="preserve"> interpretation of the standards.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Publish report to the EFCOG-LSTG web page</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rPr>
                <w:rFonts w:ascii="Arial" w:hAnsi="Arial" w:cs="Arial"/>
                <w:b w:val="0"/>
                <w:lang w:bidi="ar-SA"/>
              </w:rPr>
            </w:pPr>
            <w:r w:rsidRPr="00306F5A">
              <w:rPr>
                <w:rFonts w:ascii="Arial" w:hAnsi="Arial" w:cs="Arial"/>
                <w:b w:val="0"/>
                <w:lang w:bidi="ar-SA"/>
              </w:rPr>
              <w:t>Document benchmarking efforts for Class 1 laser enclosure requirements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Though a class 1 laser product is defined in the Federal Laser Product Performance Standards and the ANSI Z136.1, there are many interpretations of this rule.  This study helps to ensure uniform interpretation by DOE sites.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Present findings at the 2020 DOE LSO Workshop and publish completed report to the EFCOG-LSTG web page</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Cs w:val="0"/>
                <w:lang w:bidi="ar-SA"/>
              </w:rPr>
            </w:pPr>
            <w:r w:rsidRPr="00306F5A">
              <w:rPr>
                <w:rFonts w:ascii="Arial" w:hAnsi="Arial" w:cs="Arial"/>
                <w:b w:val="0"/>
                <w:lang w:bidi="ar-SA"/>
              </w:rPr>
              <w:t>Benchmark laser protective eyewear (LPE) use across the DOE complex.  Areas of concentration should include:</w:t>
            </w:r>
          </w:p>
          <w:p w:rsidR="00143946" w:rsidRPr="00306F5A" w:rsidRDefault="00143946" w:rsidP="00143946">
            <w:pPr>
              <w:jc w:val="left"/>
              <w:rPr>
                <w:rFonts w:ascii="Arial" w:hAnsi="Arial" w:cs="Arial"/>
                <w:b w:val="0"/>
                <w:lang w:bidi="ar-SA"/>
              </w:rPr>
            </w:pPr>
            <w:r w:rsidRPr="00306F5A">
              <w:rPr>
                <w:rFonts w:ascii="Arial" w:hAnsi="Arial" w:cs="Arial"/>
                <w:b w:val="0"/>
                <w:lang w:bidi="ar-SA"/>
              </w:rPr>
              <w:t>The use of multiwavelength protection in a single filter (When does VLT become a hazard?)</w:t>
            </w:r>
          </w:p>
          <w:p w:rsidR="00143946" w:rsidRPr="00306F5A" w:rsidRDefault="00143946" w:rsidP="00143946">
            <w:pPr>
              <w:jc w:val="left"/>
              <w:rPr>
                <w:rFonts w:ascii="Arial" w:hAnsi="Arial" w:cs="Arial"/>
                <w:b w:val="0"/>
                <w:lang w:bidi="ar-SA"/>
              </w:rPr>
            </w:pPr>
            <w:r w:rsidRPr="00306F5A">
              <w:rPr>
                <w:rFonts w:ascii="Arial" w:hAnsi="Arial" w:cs="Arial"/>
                <w:b w:val="0"/>
                <w:lang w:bidi="ar-SA"/>
              </w:rPr>
              <w:t>The use of multiple filters in a single lab (How are multiple types of LPE filters, including alignment eyewear, in a single lab/facility controlled?)</w:t>
            </w:r>
          </w:p>
          <w:p w:rsidR="00143946" w:rsidRPr="00306F5A" w:rsidRDefault="00143946" w:rsidP="00143946">
            <w:pPr>
              <w:keepNext/>
              <w:jc w:val="left"/>
              <w:rPr>
                <w:rFonts w:ascii="Arial" w:hAnsi="Arial" w:cs="Arial"/>
                <w:b w:val="0"/>
                <w:lang w:bidi="ar-SA"/>
              </w:rPr>
            </w:pPr>
            <w:r w:rsidRPr="00306F5A">
              <w:rPr>
                <w:rFonts w:ascii="Arial" w:hAnsi="Arial" w:cs="Arial"/>
                <w:b w:val="0"/>
                <w:lang w:bidi="ar-SA"/>
              </w:rPr>
              <w:t>Identification of proper LPE where specific wavelength/OD coverage is not printed on LPE by vendor</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One of the largest issues with the use of administrative controls is laser protective eyewear.  This will ensure that the </w:t>
            </w:r>
            <w:r w:rsidR="00254AFD">
              <w:rPr>
                <w:rFonts w:ascii="Arial" w:hAnsi="Arial" w:cs="Arial"/>
                <w:lang w:bidi="ar-SA"/>
              </w:rPr>
              <w:t>Best Practice</w:t>
            </w:r>
            <w:r w:rsidRPr="00306F5A">
              <w:rPr>
                <w:rFonts w:ascii="Arial" w:hAnsi="Arial" w:cs="Arial"/>
                <w:lang w:bidi="ar-SA"/>
              </w:rPr>
              <w:t>s are shared across the complex and more uniform safe practices are implemented.</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Present findings at the 2020 DOE LSO Workshop and publish completed report to the EFCOG-LSTG web page</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rPr>
                <w:rFonts w:ascii="Arial" w:hAnsi="Arial" w:cs="Arial"/>
                <w:b w:val="0"/>
                <w:lang w:bidi="ar-SA"/>
              </w:rPr>
            </w:pPr>
            <w:r w:rsidRPr="00306F5A">
              <w:rPr>
                <w:rFonts w:ascii="Arial" w:hAnsi="Arial" w:cs="Arial"/>
                <w:b w:val="0"/>
                <w:bCs w:val="0"/>
                <w:lang w:bidi="ar-SA"/>
              </w:rPr>
              <w:t>Publish presentations that are made at the 2020 DOE LSO Workshop at UT-Austin, that is coordinated by the LSTG</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The workshop has become the place for an LSO to obtain practical laser safety information.  Attendees include DOE, DOD, NASA, Academia, Industry, and other government agencies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keepNext/>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Publish Workshop presentations to the EFCOG-LSTG web page</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bCs w:val="0"/>
                <w:lang w:bidi="ar-SA"/>
              </w:rPr>
              <w:t>Perform 3</w:t>
            </w:r>
            <w:r w:rsidRPr="00306F5A">
              <w:rPr>
                <w:rFonts w:ascii="Arial" w:hAnsi="Arial" w:cs="Arial"/>
                <w:b w:val="0"/>
                <w:bCs w:val="0"/>
                <w:vertAlign w:val="superscript"/>
                <w:lang w:bidi="ar-SA"/>
              </w:rPr>
              <w:t>rd</w:t>
            </w:r>
            <w:r w:rsidRPr="00306F5A">
              <w:rPr>
                <w:rFonts w:ascii="Arial" w:hAnsi="Arial" w:cs="Arial"/>
                <w:b w:val="0"/>
                <w:bCs w:val="0"/>
                <w:lang w:bidi="ar-SA"/>
              </w:rPr>
              <w:t xml:space="preserve"> Laser Worker Survey</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These surveys are completed every 2 years and give the overall attitude towards laser safety from across the DOE complex</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Present findings of report at the 2020 DOE LSO workshop and publish completed report to the EFCOG-LSTG web page.</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43946" w:rsidRPr="00306F5A" w:rsidRDefault="00143946" w:rsidP="00143946">
            <w:pPr>
              <w:jc w:val="left"/>
              <w:rPr>
                <w:rFonts w:ascii="Arial" w:hAnsi="Arial" w:cs="Arial"/>
                <w:b w:val="0"/>
                <w:lang w:bidi="ar-SA"/>
              </w:rPr>
            </w:pPr>
            <w:r w:rsidRPr="00306F5A">
              <w:rPr>
                <w:rFonts w:ascii="Arial" w:hAnsi="Arial" w:cs="Arial"/>
                <w:b w:val="0"/>
                <w:lang w:bidi="ar-SA"/>
              </w:rPr>
              <w:t>Industrial Hygiene and Safety TG</w:t>
            </w:r>
          </w:p>
        </w:tc>
        <w:tc>
          <w:tcPr>
            <w:tcW w:w="2046"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c>
          <w:tcPr>
            <w:tcW w:w="172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C90319">
            <w:pPr>
              <w:jc w:val="left"/>
              <w:rPr>
                <w:rFonts w:ascii="Arial" w:hAnsi="Arial" w:cs="Arial"/>
                <w:b w:val="0"/>
                <w:lang w:bidi="ar-SA"/>
              </w:rPr>
            </w:pPr>
            <w:r w:rsidRPr="00306F5A">
              <w:rPr>
                <w:rFonts w:ascii="Arial" w:hAnsi="Arial" w:cs="Arial"/>
                <w:b w:val="0"/>
                <w:lang w:bidi="ar-SA"/>
              </w:rPr>
              <w:t>Issue White Paper documenting results of Benchmarking of implementation of the new OSAH Silica Standards (continuation of FY19, #7.24)</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OSHA has promulgated two new standards related to silica – 29 CFR 1910.1053 and 29 CFR 1926.1153; one for general industry and one for construction. How these standards are implemented across the complex is important for consistency and ease of implementation.</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C90319">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White Paper on implementation of the new standards</w:t>
            </w:r>
            <w:r w:rsidR="00A40FFF">
              <w:rPr>
                <w:rFonts w:ascii="Arial" w:hAnsi="Arial" w:cs="Arial"/>
                <w:lang w:bidi="ar-SA"/>
              </w:rPr>
              <w:t>.</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C90319">
            <w:pPr>
              <w:jc w:val="left"/>
              <w:rPr>
                <w:rFonts w:ascii="Arial" w:hAnsi="Arial" w:cs="Arial"/>
                <w:b w:val="0"/>
                <w:lang w:bidi="ar-SA"/>
              </w:rPr>
            </w:pPr>
            <w:r w:rsidRPr="00306F5A">
              <w:rPr>
                <w:rFonts w:ascii="Arial" w:hAnsi="Arial" w:cs="Arial"/>
                <w:b w:val="0"/>
                <w:lang w:bidi="ar-SA"/>
              </w:rPr>
              <w:t>Issue White Paper on lead contamination criteria: challenges; application to work planning &amp; execution; sampling &amp; monitoring approaches; and, use of tiered levels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Provides consistency on interpretation and implementation of lead standards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254AFD"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Pr>
                <w:rFonts w:ascii="Arial" w:hAnsi="Arial" w:cs="Arial"/>
                <w:lang w:bidi="ar-SA"/>
              </w:rPr>
              <w:t>White Paper</w:t>
            </w:r>
            <w:r w:rsidR="00143946" w:rsidRPr="00306F5A">
              <w:rPr>
                <w:rFonts w:ascii="Arial" w:hAnsi="Arial" w:cs="Arial"/>
                <w:lang w:bidi="ar-SA"/>
              </w:rPr>
              <w:t xml:space="preserve"> on lead contamination surfaces.</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 xml:space="preserve">Develop Physical Agents TLV Guidance for Heat Stress (continuation of FY19, # 7.6)  </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Heat Stress TLVs: Provide guidance on the application and implementation of a portion (i.e., heat stress) of the ACGIH Thermal Stress TLV. The</w:t>
            </w:r>
            <w:r w:rsidR="00613EF9">
              <w:rPr>
                <w:rFonts w:ascii="Arial" w:hAnsi="Arial" w:cs="Arial"/>
                <w:lang w:bidi="ar-SA"/>
              </w:rPr>
              <w:t xml:space="preserve"> guidance document will include</w:t>
            </w:r>
            <w:r w:rsidRPr="00306F5A">
              <w:rPr>
                <w:rFonts w:ascii="Arial" w:hAnsi="Arial" w:cs="Arial"/>
                <w:lang w:bidi="ar-SA"/>
              </w:rPr>
              <w:t xml:space="preserve"> requirements and changes in the TLV, identification of low and high-risk activities, information for workers, how to perform a detailed heat stress analysis for work activities, and information on physiological monitoring techniques.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ACGIH Heat Stress TLV:  Employee Friendly Presentation and Guidance for Professional Judgement </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 xml:space="preserve">Develop Best Practices for Improved IH/Occ Med Coordination (continuation of FY19, # 7.7)  </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C90319">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Provide </w:t>
            </w:r>
            <w:r w:rsidR="00DD09FE">
              <w:rPr>
                <w:rFonts w:ascii="Arial" w:hAnsi="Arial" w:cs="Arial"/>
                <w:lang w:bidi="ar-SA"/>
              </w:rPr>
              <w:t>W</w:t>
            </w:r>
            <w:r w:rsidRPr="00306F5A">
              <w:rPr>
                <w:rFonts w:ascii="Arial" w:hAnsi="Arial" w:cs="Arial"/>
                <w:lang w:bidi="ar-SA"/>
              </w:rPr>
              <w:t xml:space="preserve">hitepaper on </w:t>
            </w:r>
            <w:r w:rsidR="00254AFD">
              <w:rPr>
                <w:rFonts w:ascii="Arial" w:hAnsi="Arial" w:cs="Arial"/>
                <w:lang w:bidi="ar-SA"/>
              </w:rPr>
              <w:t>Best Practice</w:t>
            </w:r>
            <w:r w:rsidRPr="00306F5A">
              <w:rPr>
                <w:rFonts w:ascii="Arial" w:hAnsi="Arial" w:cs="Arial"/>
                <w:lang w:bidi="ar-SA"/>
              </w:rPr>
              <w:t>s to ensure excellence in communication between Occupational Medicine SOMD/providers and Industrial Hygiene program/field</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Best </w:t>
            </w:r>
            <w:r w:rsidR="00DD09FE">
              <w:rPr>
                <w:rFonts w:ascii="Arial" w:hAnsi="Arial" w:cs="Arial"/>
                <w:lang w:bidi="ar-SA"/>
              </w:rPr>
              <w:t>P</w:t>
            </w:r>
            <w:r w:rsidRPr="00306F5A">
              <w:rPr>
                <w:rFonts w:ascii="Arial" w:hAnsi="Arial" w:cs="Arial"/>
                <w:lang w:bidi="ar-SA"/>
              </w:rPr>
              <w:t xml:space="preserve">ractices posted on the EFCOG website.  </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Benchmark chemical storage and chemical storage training programs.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Develop guidance for the storage of chemicals and the training of workers to help ensure a safe work environment, regulatory compliance and consistency across the complex.  The guidance will address any changes from the updated appropriate regulations and guidance documents, e.g., National Fire Protection Association (NFPA) 400 “Hazardous Materials Code”, the Occupational Safety and Health Administration (OSHA) Hazard Communication standard 29 CFR 1910.1200, and other applicable reference documents.</w:t>
            </w:r>
          </w:p>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A40FFF">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Issue EFCOG </w:t>
            </w:r>
            <w:r w:rsidR="00A40FFF">
              <w:rPr>
                <w:rFonts w:ascii="Arial" w:hAnsi="Arial" w:cs="Arial"/>
                <w:lang w:bidi="ar-SA"/>
              </w:rPr>
              <w:t>Guide</w:t>
            </w:r>
            <w:r w:rsidRPr="00306F5A">
              <w:rPr>
                <w:rFonts w:ascii="Arial" w:hAnsi="Arial" w:cs="Arial"/>
                <w:lang w:bidi="ar-SA"/>
              </w:rPr>
              <w:t xml:space="preserve"> on chemical storage and chemical storage training. **</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Provide input to DOE to update DOE-HDBK-1139 Chemical Management Volume 1</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Develop updated content based on current, appropriate regulations and guidance documents, e.g., National Fire Protection Association (NFPA) 400 “Hazardous Materials Code”, the Occupational Safety and Health Administration (OSHA) Hazard Communication standard 29 CFR 1910.1200, and other applicable reference documents.</w:t>
            </w:r>
          </w:p>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Updated draft to DOE-HDBK-1139</w:t>
            </w:r>
          </w:p>
        </w:tc>
      </w:tr>
      <w:tr w:rsidR="00143946" w:rsidRPr="00306F5A" w:rsidTr="00AC4A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rPr>
              <w:t>Review and Provide Comments to Update DOE-HDBK-1163</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Provides consistency on hazard integration evaluations, interpretation and implementation. </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Update draft to DOE-HDBK-1163</w:t>
            </w:r>
          </w:p>
        </w:tc>
      </w:tr>
      <w:tr w:rsidR="00143946" w:rsidRPr="00306F5A" w:rsidTr="00AC4A76">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43946" w:rsidRPr="00306F5A" w:rsidRDefault="00143946" w:rsidP="00143946">
            <w:pPr>
              <w:jc w:val="left"/>
              <w:rPr>
                <w:rFonts w:ascii="Arial" w:hAnsi="Arial" w:cs="Arial"/>
                <w:b w:val="0"/>
                <w:lang w:bidi="ar-SA"/>
              </w:rPr>
            </w:pPr>
            <w:r w:rsidRPr="00306F5A">
              <w:rPr>
                <w:rFonts w:ascii="Arial" w:hAnsi="Arial" w:cs="Arial"/>
                <w:b w:val="0"/>
                <w:lang w:bidi="ar-SA"/>
              </w:rPr>
              <w:t>Occupational Medicine TG</w:t>
            </w:r>
          </w:p>
        </w:tc>
        <w:tc>
          <w:tcPr>
            <w:tcW w:w="2046"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c>
          <w:tcPr>
            <w:tcW w:w="172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43946" w:rsidRPr="00306F5A" w:rsidRDefault="00143946" w:rsidP="00143946">
            <w:pPr>
              <w:tabs>
                <w:tab w:val="left" w:pos="1020"/>
              </w:tabs>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ab/>
            </w:r>
          </w:p>
        </w:tc>
      </w:tr>
      <w:tr w:rsidR="00143946" w:rsidRPr="00306F5A" w:rsidTr="00B64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C90319">
            <w:pPr>
              <w:jc w:val="left"/>
              <w:rPr>
                <w:rFonts w:ascii="Arial" w:hAnsi="Arial" w:cs="Arial"/>
                <w:b w:val="0"/>
                <w:lang w:bidi="ar-SA"/>
              </w:rPr>
            </w:pPr>
            <w:r w:rsidRPr="00306F5A">
              <w:rPr>
                <w:rFonts w:ascii="Arial" w:hAnsi="Arial" w:cs="Arial"/>
                <w:b w:val="0"/>
                <w:lang w:bidi="ar-SA"/>
              </w:rPr>
              <w:t xml:space="preserve">Issue White Paper with guidelines on the use of medical and recreational marijuana/CBD products at DOE sites </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This will provide a standardized approach to the use, reporting, medical review of drug test results, and required follow up in workers using medical/recreational marijuana or cannabidiol (CBD) products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tabs>
                <w:tab w:val="left" w:pos="1020"/>
              </w:tabs>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White Paper</w:t>
            </w:r>
          </w:p>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r>
      <w:tr w:rsidR="00143946" w:rsidRPr="00306F5A" w:rsidTr="00B64A25">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 xml:space="preserve">Develop a process for Site-to-Site Peer Review </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Will provide a formal process for requesting an outside peer consultation with regard to medical issues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tabs>
                <w:tab w:val="left" w:pos="1020"/>
              </w:tabs>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Best Practice </w:t>
            </w:r>
          </w:p>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r>
      <w:tr w:rsidR="00143946" w:rsidRPr="00306F5A" w:rsidTr="00B64A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b w:val="0"/>
                <w:lang w:bidi="ar-SA"/>
              </w:rPr>
            </w:pPr>
            <w:r w:rsidRPr="00306F5A">
              <w:rPr>
                <w:rFonts w:ascii="Arial" w:hAnsi="Arial" w:cs="Arial"/>
                <w:b w:val="0"/>
                <w:lang w:bidi="ar-SA"/>
              </w:rPr>
              <w:t>Develop and issue a Best Practice on recommendations for key medical self-assessments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This will provide a standardized approach to medical self-assessments for onsite clinics to evaluate medical services provided to DOE and contract workers.</w:t>
            </w:r>
          </w:p>
        </w:tc>
        <w:tc>
          <w:tcPr>
            <w:tcW w:w="1722" w:type="pct"/>
            <w:tcBorders>
              <w:top w:val="single" w:sz="4" w:space="0" w:color="auto"/>
              <w:left w:val="single" w:sz="4" w:space="0" w:color="auto"/>
              <w:bottom w:val="single" w:sz="4" w:space="0" w:color="auto"/>
              <w:right w:val="single" w:sz="4" w:space="0" w:color="auto"/>
            </w:tcBorders>
          </w:tcPr>
          <w:p w:rsidR="00143946" w:rsidRPr="00306F5A" w:rsidRDefault="00143946" w:rsidP="00143946">
            <w:pPr>
              <w:tabs>
                <w:tab w:val="left" w:pos="1020"/>
              </w:tabs>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r w:rsidRPr="00306F5A">
              <w:rPr>
                <w:rFonts w:ascii="Arial" w:hAnsi="Arial" w:cs="Arial"/>
                <w:lang w:bidi="ar-SA"/>
              </w:rPr>
              <w:t xml:space="preserve">Best Practice </w:t>
            </w:r>
          </w:p>
          <w:p w:rsidR="00143946" w:rsidRPr="00306F5A" w:rsidRDefault="00143946" w:rsidP="00143946">
            <w:pPr>
              <w:jc w:val="left"/>
              <w:cnfStyle w:val="000000100000" w:firstRow="0" w:lastRow="0" w:firstColumn="0" w:lastColumn="0" w:oddVBand="0" w:evenVBand="0" w:oddHBand="1" w:evenHBand="0" w:firstRowFirstColumn="0" w:firstRowLastColumn="0" w:lastRowFirstColumn="0" w:lastRowLastColumn="0"/>
              <w:rPr>
                <w:rFonts w:ascii="Arial" w:hAnsi="Arial" w:cs="Arial"/>
                <w:lang w:bidi="ar-SA"/>
              </w:rPr>
            </w:pPr>
          </w:p>
        </w:tc>
      </w:tr>
      <w:tr w:rsidR="00143946" w:rsidRPr="00213FE1" w:rsidTr="00B64A25">
        <w:tc>
          <w:tcPr>
            <w:cnfStyle w:val="001000000000" w:firstRow="0" w:lastRow="0" w:firstColumn="1" w:lastColumn="0" w:oddVBand="0" w:evenVBand="0" w:oddHBand="0" w:evenHBand="0" w:firstRowFirstColumn="0" w:firstRowLastColumn="0" w:lastRowFirstColumn="0" w:lastRowLastColumn="0"/>
            <w:tcW w:w="1232"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rPr>
                <w:rFonts w:ascii="Arial" w:hAnsi="Arial" w:cs="Arial"/>
                <w:lang w:bidi="ar-SA"/>
              </w:rPr>
            </w:pPr>
            <w:r w:rsidRPr="00306F5A">
              <w:rPr>
                <w:rFonts w:ascii="Arial" w:hAnsi="Arial" w:cs="Arial"/>
                <w:b w:val="0"/>
                <w:lang w:bidi="ar-SA"/>
              </w:rPr>
              <w:t>Work with the IH&amp;S Technical Task Group to determine follow-on activities on new Silica Standards and benchmarking efforts (follow on to FY19 7.29 on implementation of silica St</w:t>
            </w:r>
            <w:r w:rsidR="00DD09FE">
              <w:rPr>
                <w:rFonts w:ascii="Arial" w:hAnsi="Arial" w:cs="Arial"/>
                <w:b w:val="0"/>
                <w:lang w:bidi="ar-SA"/>
              </w:rPr>
              <w:t>andar</w:t>
            </w:r>
            <w:r w:rsidRPr="00306F5A">
              <w:rPr>
                <w:rFonts w:ascii="Arial" w:hAnsi="Arial" w:cs="Arial"/>
                <w:b w:val="0"/>
                <w:lang w:bidi="ar-SA"/>
              </w:rPr>
              <w:t>ds)</w:t>
            </w:r>
          </w:p>
        </w:tc>
        <w:tc>
          <w:tcPr>
            <w:tcW w:w="2046" w:type="pct"/>
            <w:gridSpan w:val="2"/>
            <w:tcBorders>
              <w:top w:val="single" w:sz="4" w:space="0" w:color="auto"/>
              <w:left w:val="single" w:sz="4" w:space="0" w:color="auto"/>
              <w:bottom w:val="single" w:sz="4" w:space="0" w:color="auto"/>
              <w:right w:val="single" w:sz="4" w:space="0" w:color="auto"/>
            </w:tcBorders>
          </w:tcPr>
          <w:p w:rsidR="00143946" w:rsidRPr="00306F5A" w:rsidRDefault="00143946" w:rsidP="00143946">
            <w:pPr>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 xml:space="preserve">Standardize approach to the implementation and medical evaluation of silica workers across the DOE complex under the new OSHA standards for crystalline silica workers. </w:t>
            </w:r>
          </w:p>
        </w:tc>
        <w:tc>
          <w:tcPr>
            <w:tcW w:w="1722" w:type="pct"/>
            <w:tcBorders>
              <w:top w:val="single" w:sz="4" w:space="0" w:color="auto"/>
              <w:left w:val="single" w:sz="4" w:space="0" w:color="auto"/>
              <w:bottom w:val="single" w:sz="4" w:space="0" w:color="auto"/>
              <w:right w:val="single" w:sz="4" w:space="0" w:color="auto"/>
            </w:tcBorders>
          </w:tcPr>
          <w:p w:rsidR="00143946" w:rsidRDefault="00143946" w:rsidP="00143946">
            <w:pPr>
              <w:tabs>
                <w:tab w:val="left" w:pos="1020"/>
              </w:tabs>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r w:rsidRPr="00306F5A">
              <w:rPr>
                <w:rFonts w:ascii="Arial" w:hAnsi="Arial" w:cs="Arial"/>
                <w:lang w:bidi="ar-SA"/>
              </w:rPr>
              <w:t>Whitepaper</w:t>
            </w:r>
          </w:p>
          <w:p w:rsidR="00143946" w:rsidRDefault="00143946" w:rsidP="00143946">
            <w:pPr>
              <w:tabs>
                <w:tab w:val="left" w:pos="1020"/>
              </w:tabs>
              <w:jc w:val="left"/>
              <w:cnfStyle w:val="000000000000" w:firstRow="0" w:lastRow="0" w:firstColumn="0" w:lastColumn="0" w:oddVBand="0" w:evenVBand="0" w:oddHBand="0" w:evenHBand="0" w:firstRowFirstColumn="0" w:firstRowLastColumn="0" w:lastRowFirstColumn="0" w:lastRowLastColumn="0"/>
              <w:rPr>
                <w:rFonts w:ascii="Arial" w:hAnsi="Arial" w:cs="Arial"/>
                <w:lang w:bidi="ar-SA"/>
              </w:rPr>
            </w:pPr>
          </w:p>
        </w:tc>
      </w:tr>
    </w:tbl>
    <w:p w:rsidR="00213FE1" w:rsidRPr="00213FE1" w:rsidRDefault="00213FE1" w:rsidP="00213FE1">
      <w:pPr>
        <w:rPr>
          <w:rFonts w:ascii="Arial" w:hAnsi="Arial" w:cs="Arial"/>
          <w:b/>
        </w:rPr>
      </w:pPr>
    </w:p>
    <w:p w:rsidR="00213FE1" w:rsidRPr="00213FE1" w:rsidRDefault="00213FE1" w:rsidP="00213FE1">
      <w:pPr>
        <w:rPr>
          <w:rFonts w:ascii="Arial" w:hAnsi="Arial" w:cs="Arial"/>
          <w:b/>
        </w:rPr>
      </w:pPr>
    </w:p>
    <w:p w:rsidR="00CF4F71" w:rsidRPr="00AD0E1A" w:rsidRDefault="00CF4F71" w:rsidP="00C274FA">
      <w:pPr>
        <w:rPr>
          <w:vanish/>
        </w:rPr>
      </w:pPr>
    </w:p>
    <w:sectPr w:rsidR="00CF4F71" w:rsidRPr="00AD0E1A" w:rsidSect="001756A6">
      <w:footerReference w:type="default" r:id="rId10"/>
      <w:headerReference w:type="first" r:id="rId11"/>
      <w:footerReference w:type="firs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2E8" w:rsidRDefault="001752E8" w:rsidP="00AC3E3F">
      <w:pPr>
        <w:spacing w:after="0" w:line="240" w:lineRule="auto"/>
      </w:pPr>
      <w:r>
        <w:separator/>
      </w:r>
    </w:p>
  </w:endnote>
  <w:endnote w:type="continuationSeparator" w:id="0">
    <w:p w:rsidR="001752E8" w:rsidRDefault="001752E8" w:rsidP="00AC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Corbel"/>
    <w:charset w:val="00"/>
    <w:family w:val="swiss"/>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A6" w:rsidRPr="00DE57C0" w:rsidRDefault="00C73BA6" w:rsidP="005E1AA2">
    <w:pPr>
      <w:pStyle w:val="Footer"/>
      <w:pBdr>
        <w:top w:val="single" w:sz="4" w:space="1" w:color="auto"/>
      </w:pBdr>
      <w:tabs>
        <w:tab w:val="clear" w:pos="4320"/>
        <w:tab w:val="clear" w:pos="9480"/>
        <w:tab w:val="right" w:pos="13140"/>
      </w:tabs>
      <w:spacing w:before="0"/>
      <w:ind w:left="0" w:right="0"/>
      <w:jc w:val="left"/>
      <w:rPr>
        <w:sz w:val="18"/>
      </w:rPr>
    </w:pPr>
    <w:r>
      <w:rPr>
        <w:rStyle w:val="PageNumber"/>
        <w:sz w:val="18"/>
      </w:rPr>
      <w:t>FY2020 annual Work Plan</w:t>
    </w:r>
    <w:r>
      <w:rPr>
        <w:rStyle w:val="PageNumber"/>
        <w:sz w:val="18"/>
      </w:rPr>
      <w:tab/>
    </w:r>
    <w:r>
      <w:rPr>
        <w:rStyle w:val="PageNumber"/>
        <w:sz w:val="18"/>
      </w:rPr>
      <w:fldChar w:fldCharType="begin"/>
    </w:r>
    <w:r>
      <w:rPr>
        <w:rStyle w:val="PageNumber"/>
        <w:sz w:val="18"/>
      </w:rPr>
      <w:instrText xml:space="preserve"> PAGE </w:instrText>
    </w:r>
    <w:r>
      <w:rPr>
        <w:rStyle w:val="PageNumber"/>
        <w:sz w:val="18"/>
      </w:rPr>
      <w:fldChar w:fldCharType="separate"/>
    </w:r>
    <w:r w:rsidR="00BC28C5">
      <w:rPr>
        <w:rStyle w:val="PageNumber"/>
        <w:noProof/>
        <w:sz w:val="18"/>
      </w:rPr>
      <w:t>2</w:t>
    </w:r>
    <w:r>
      <w:rPr>
        <w:rStyle w:val="PageNumb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A6" w:rsidRDefault="00C73BA6" w:rsidP="005E1AA2">
    <w:pPr>
      <w:pStyle w:val="Footer"/>
      <w:pBdr>
        <w:top w:val="single" w:sz="4" w:space="1" w:color="auto"/>
      </w:pBdr>
      <w:tabs>
        <w:tab w:val="clear" w:pos="4320"/>
        <w:tab w:val="clear" w:pos="9480"/>
        <w:tab w:val="left" w:pos="12870"/>
      </w:tabs>
      <w:spacing w:before="0"/>
      <w:ind w:left="0" w:right="0"/>
      <w:jc w:val="left"/>
      <w:rPr>
        <w:sz w:val="18"/>
      </w:rPr>
    </w:pPr>
    <w:r>
      <w:rPr>
        <w:rStyle w:val="PageNumber"/>
        <w:sz w:val="18"/>
      </w:rPr>
      <w:t>FY2014 annual report to the MEMBERS</w:t>
    </w:r>
    <w:r>
      <w:rPr>
        <w:rStyle w:val="PageNumber"/>
        <w:sz w:val="18"/>
      </w:rPr>
      <w:tab/>
      <w:t xml:space="preserve">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16</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2E8" w:rsidRDefault="001752E8" w:rsidP="00AC3E3F">
      <w:pPr>
        <w:spacing w:after="0" w:line="240" w:lineRule="auto"/>
      </w:pPr>
      <w:r>
        <w:separator/>
      </w:r>
    </w:p>
  </w:footnote>
  <w:footnote w:type="continuationSeparator" w:id="0">
    <w:p w:rsidR="001752E8" w:rsidRDefault="001752E8" w:rsidP="00AC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BA6" w:rsidRPr="001C51DE" w:rsidRDefault="00C73BA6" w:rsidP="005E1AA2">
    <w:pPr>
      <w:pStyle w:val="Header"/>
      <w:tabs>
        <w:tab w:val="left" w:pos="4845"/>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305A"/>
    <w:multiLevelType w:val="hybridMultilevel"/>
    <w:tmpl w:val="7638E3AE"/>
    <w:lvl w:ilvl="0" w:tplc="43BCD7AC">
      <w:start w:val="1"/>
      <w:numFmt w:val="bullet"/>
      <w:lvlText w:val="•"/>
      <w:lvlJc w:val="left"/>
      <w:pPr>
        <w:tabs>
          <w:tab w:val="num" w:pos="720"/>
        </w:tabs>
        <w:ind w:left="720" w:hanging="360"/>
      </w:pPr>
      <w:rPr>
        <w:rFonts w:ascii="Arial" w:hAnsi="Arial" w:hint="default"/>
      </w:rPr>
    </w:lvl>
    <w:lvl w:ilvl="1" w:tplc="935E075E">
      <w:start w:val="1"/>
      <w:numFmt w:val="bullet"/>
      <w:lvlText w:val="•"/>
      <w:lvlJc w:val="left"/>
      <w:pPr>
        <w:tabs>
          <w:tab w:val="num" w:pos="1440"/>
        </w:tabs>
        <w:ind w:left="1440" w:hanging="360"/>
      </w:pPr>
      <w:rPr>
        <w:rFonts w:ascii="Arial" w:hAnsi="Arial" w:hint="default"/>
      </w:rPr>
    </w:lvl>
    <w:lvl w:ilvl="2" w:tplc="E4C62A68" w:tentative="1">
      <w:start w:val="1"/>
      <w:numFmt w:val="bullet"/>
      <w:lvlText w:val="•"/>
      <w:lvlJc w:val="left"/>
      <w:pPr>
        <w:tabs>
          <w:tab w:val="num" w:pos="2160"/>
        </w:tabs>
        <w:ind w:left="2160" w:hanging="360"/>
      </w:pPr>
      <w:rPr>
        <w:rFonts w:ascii="Arial" w:hAnsi="Arial" w:hint="default"/>
      </w:rPr>
    </w:lvl>
    <w:lvl w:ilvl="3" w:tplc="549E8204" w:tentative="1">
      <w:start w:val="1"/>
      <w:numFmt w:val="bullet"/>
      <w:lvlText w:val="•"/>
      <w:lvlJc w:val="left"/>
      <w:pPr>
        <w:tabs>
          <w:tab w:val="num" w:pos="2880"/>
        </w:tabs>
        <w:ind w:left="2880" w:hanging="360"/>
      </w:pPr>
      <w:rPr>
        <w:rFonts w:ascii="Arial" w:hAnsi="Arial" w:hint="default"/>
      </w:rPr>
    </w:lvl>
    <w:lvl w:ilvl="4" w:tplc="5E4E36E0" w:tentative="1">
      <w:start w:val="1"/>
      <w:numFmt w:val="bullet"/>
      <w:lvlText w:val="•"/>
      <w:lvlJc w:val="left"/>
      <w:pPr>
        <w:tabs>
          <w:tab w:val="num" w:pos="3600"/>
        </w:tabs>
        <w:ind w:left="3600" w:hanging="360"/>
      </w:pPr>
      <w:rPr>
        <w:rFonts w:ascii="Arial" w:hAnsi="Arial" w:hint="default"/>
      </w:rPr>
    </w:lvl>
    <w:lvl w:ilvl="5" w:tplc="B6DED624" w:tentative="1">
      <w:start w:val="1"/>
      <w:numFmt w:val="bullet"/>
      <w:lvlText w:val="•"/>
      <w:lvlJc w:val="left"/>
      <w:pPr>
        <w:tabs>
          <w:tab w:val="num" w:pos="4320"/>
        </w:tabs>
        <w:ind w:left="4320" w:hanging="360"/>
      </w:pPr>
      <w:rPr>
        <w:rFonts w:ascii="Arial" w:hAnsi="Arial" w:hint="default"/>
      </w:rPr>
    </w:lvl>
    <w:lvl w:ilvl="6" w:tplc="D10C5C68" w:tentative="1">
      <w:start w:val="1"/>
      <w:numFmt w:val="bullet"/>
      <w:lvlText w:val="•"/>
      <w:lvlJc w:val="left"/>
      <w:pPr>
        <w:tabs>
          <w:tab w:val="num" w:pos="5040"/>
        </w:tabs>
        <w:ind w:left="5040" w:hanging="360"/>
      </w:pPr>
      <w:rPr>
        <w:rFonts w:ascii="Arial" w:hAnsi="Arial" w:hint="default"/>
      </w:rPr>
    </w:lvl>
    <w:lvl w:ilvl="7" w:tplc="6ED20DAA" w:tentative="1">
      <w:start w:val="1"/>
      <w:numFmt w:val="bullet"/>
      <w:lvlText w:val="•"/>
      <w:lvlJc w:val="left"/>
      <w:pPr>
        <w:tabs>
          <w:tab w:val="num" w:pos="5760"/>
        </w:tabs>
        <w:ind w:left="5760" w:hanging="360"/>
      </w:pPr>
      <w:rPr>
        <w:rFonts w:ascii="Arial" w:hAnsi="Arial" w:hint="default"/>
      </w:rPr>
    </w:lvl>
    <w:lvl w:ilvl="8" w:tplc="9C4CB2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436834"/>
    <w:multiLevelType w:val="hybridMultilevel"/>
    <w:tmpl w:val="E5023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C0BB9"/>
    <w:multiLevelType w:val="hybridMultilevel"/>
    <w:tmpl w:val="AEF0A4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7A83D55"/>
    <w:multiLevelType w:val="hybridMultilevel"/>
    <w:tmpl w:val="4F783F18"/>
    <w:lvl w:ilvl="0" w:tplc="4A50748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D20469"/>
    <w:multiLevelType w:val="hybridMultilevel"/>
    <w:tmpl w:val="AC607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74AB0"/>
    <w:multiLevelType w:val="hybridMultilevel"/>
    <w:tmpl w:val="10A0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150D0"/>
    <w:multiLevelType w:val="hybridMultilevel"/>
    <w:tmpl w:val="F33C0A70"/>
    <w:lvl w:ilvl="0" w:tplc="CFF43A32">
      <w:start w:val="1"/>
      <w:numFmt w:val="bullet"/>
      <w:lvlText w:val="•"/>
      <w:lvlJc w:val="left"/>
      <w:pPr>
        <w:tabs>
          <w:tab w:val="num" w:pos="720"/>
        </w:tabs>
        <w:ind w:left="720" w:hanging="360"/>
      </w:pPr>
      <w:rPr>
        <w:rFonts w:ascii="Arial" w:hAnsi="Arial" w:hint="default"/>
      </w:rPr>
    </w:lvl>
    <w:lvl w:ilvl="1" w:tplc="05E0D956">
      <w:start w:val="1"/>
      <w:numFmt w:val="bullet"/>
      <w:lvlText w:val="•"/>
      <w:lvlJc w:val="left"/>
      <w:pPr>
        <w:tabs>
          <w:tab w:val="num" w:pos="1440"/>
        </w:tabs>
        <w:ind w:left="1440" w:hanging="360"/>
      </w:pPr>
      <w:rPr>
        <w:rFonts w:ascii="Arial" w:hAnsi="Arial" w:hint="default"/>
      </w:rPr>
    </w:lvl>
    <w:lvl w:ilvl="2" w:tplc="55E6D72A" w:tentative="1">
      <w:start w:val="1"/>
      <w:numFmt w:val="bullet"/>
      <w:lvlText w:val="•"/>
      <w:lvlJc w:val="left"/>
      <w:pPr>
        <w:tabs>
          <w:tab w:val="num" w:pos="2160"/>
        </w:tabs>
        <w:ind w:left="2160" w:hanging="360"/>
      </w:pPr>
      <w:rPr>
        <w:rFonts w:ascii="Arial" w:hAnsi="Arial" w:hint="default"/>
      </w:rPr>
    </w:lvl>
    <w:lvl w:ilvl="3" w:tplc="E95AB16C" w:tentative="1">
      <w:start w:val="1"/>
      <w:numFmt w:val="bullet"/>
      <w:lvlText w:val="•"/>
      <w:lvlJc w:val="left"/>
      <w:pPr>
        <w:tabs>
          <w:tab w:val="num" w:pos="2880"/>
        </w:tabs>
        <w:ind w:left="2880" w:hanging="360"/>
      </w:pPr>
      <w:rPr>
        <w:rFonts w:ascii="Arial" w:hAnsi="Arial" w:hint="default"/>
      </w:rPr>
    </w:lvl>
    <w:lvl w:ilvl="4" w:tplc="EEC488C4" w:tentative="1">
      <w:start w:val="1"/>
      <w:numFmt w:val="bullet"/>
      <w:lvlText w:val="•"/>
      <w:lvlJc w:val="left"/>
      <w:pPr>
        <w:tabs>
          <w:tab w:val="num" w:pos="3600"/>
        </w:tabs>
        <w:ind w:left="3600" w:hanging="360"/>
      </w:pPr>
      <w:rPr>
        <w:rFonts w:ascii="Arial" w:hAnsi="Arial" w:hint="default"/>
      </w:rPr>
    </w:lvl>
    <w:lvl w:ilvl="5" w:tplc="344A69F6" w:tentative="1">
      <w:start w:val="1"/>
      <w:numFmt w:val="bullet"/>
      <w:lvlText w:val="•"/>
      <w:lvlJc w:val="left"/>
      <w:pPr>
        <w:tabs>
          <w:tab w:val="num" w:pos="4320"/>
        </w:tabs>
        <w:ind w:left="4320" w:hanging="360"/>
      </w:pPr>
      <w:rPr>
        <w:rFonts w:ascii="Arial" w:hAnsi="Arial" w:hint="default"/>
      </w:rPr>
    </w:lvl>
    <w:lvl w:ilvl="6" w:tplc="7400B74A" w:tentative="1">
      <w:start w:val="1"/>
      <w:numFmt w:val="bullet"/>
      <w:lvlText w:val="•"/>
      <w:lvlJc w:val="left"/>
      <w:pPr>
        <w:tabs>
          <w:tab w:val="num" w:pos="5040"/>
        </w:tabs>
        <w:ind w:left="5040" w:hanging="360"/>
      </w:pPr>
      <w:rPr>
        <w:rFonts w:ascii="Arial" w:hAnsi="Arial" w:hint="default"/>
      </w:rPr>
    </w:lvl>
    <w:lvl w:ilvl="7" w:tplc="22AEB870" w:tentative="1">
      <w:start w:val="1"/>
      <w:numFmt w:val="bullet"/>
      <w:lvlText w:val="•"/>
      <w:lvlJc w:val="left"/>
      <w:pPr>
        <w:tabs>
          <w:tab w:val="num" w:pos="5760"/>
        </w:tabs>
        <w:ind w:left="5760" w:hanging="360"/>
      </w:pPr>
      <w:rPr>
        <w:rFonts w:ascii="Arial" w:hAnsi="Arial" w:hint="default"/>
      </w:rPr>
    </w:lvl>
    <w:lvl w:ilvl="8" w:tplc="4E4E85E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F32E13"/>
    <w:multiLevelType w:val="hybridMultilevel"/>
    <w:tmpl w:val="72280D36"/>
    <w:lvl w:ilvl="0" w:tplc="04090001">
      <w:start w:val="1"/>
      <w:numFmt w:val="bullet"/>
      <w:lvlText w:val=""/>
      <w:lvlJc w:val="left"/>
      <w:pPr>
        <w:tabs>
          <w:tab w:val="num" w:pos="360"/>
        </w:tabs>
        <w:ind w:left="360" w:hanging="360"/>
      </w:pPr>
      <w:rPr>
        <w:rFonts w:ascii="Symbol" w:hAnsi="Symbol" w:hint="default"/>
      </w:rPr>
    </w:lvl>
    <w:lvl w:ilvl="1" w:tplc="6B10B078">
      <w:start w:val="59"/>
      <w:numFmt w:val="bullet"/>
      <w:lvlText w:val=""/>
      <w:lvlJc w:val="left"/>
      <w:pPr>
        <w:tabs>
          <w:tab w:val="num" w:pos="1080"/>
        </w:tabs>
        <w:ind w:left="1080" w:hanging="360"/>
      </w:pPr>
      <w:rPr>
        <w:rFonts w:ascii="Wingdings" w:hAnsi="Wingdings" w:hint="default"/>
      </w:rPr>
    </w:lvl>
    <w:lvl w:ilvl="2" w:tplc="9FDC26DC">
      <w:start w:val="59"/>
      <w:numFmt w:val="bullet"/>
      <w:lvlText w:val=""/>
      <w:lvlJc w:val="left"/>
      <w:pPr>
        <w:tabs>
          <w:tab w:val="num" w:pos="1800"/>
        </w:tabs>
        <w:ind w:left="1800" w:hanging="360"/>
      </w:pPr>
      <w:rPr>
        <w:rFonts w:ascii="Wingdings" w:hAnsi="Wingdings" w:hint="default"/>
      </w:rPr>
    </w:lvl>
    <w:lvl w:ilvl="3" w:tplc="4CD6FDA0" w:tentative="1">
      <w:start w:val="1"/>
      <w:numFmt w:val="bullet"/>
      <w:lvlText w:val=""/>
      <w:lvlJc w:val="left"/>
      <w:pPr>
        <w:tabs>
          <w:tab w:val="num" w:pos="2520"/>
        </w:tabs>
        <w:ind w:left="2520" w:hanging="360"/>
      </w:pPr>
      <w:rPr>
        <w:rFonts w:ascii="Wingdings" w:hAnsi="Wingdings" w:hint="default"/>
      </w:rPr>
    </w:lvl>
    <w:lvl w:ilvl="4" w:tplc="A62C5820" w:tentative="1">
      <w:start w:val="1"/>
      <w:numFmt w:val="bullet"/>
      <w:lvlText w:val=""/>
      <w:lvlJc w:val="left"/>
      <w:pPr>
        <w:tabs>
          <w:tab w:val="num" w:pos="3240"/>
        </w:tabs>
        <w:ind w:left="3240" w:hanging="360"/>
      </w:pPr>
      <w:rPr>
        <w:rFonts w:ascii="Wingdings" w:hAnsi="Wingdings" w:hint="default"/>
      </w:rPr>
    </w:lvl>
    <w:lvl w:ilvl="5" w:tplc="397A65A6" w:tentative="1">
      <w:start w:val="1"/>
      <w:numFmt w:val="bullet"/>
      <w:lvlText w:val=""/>
      <w:lvlJc w:val="left"/>
      <w:pPr>
        <w:tabs>
          <w:tab w:val="num" w:pos="3960"/>
        </w:tabs>
        <w:ind w:left="3960" w:hanging="360"/>
      </w:pPr>
      <w:rPr>
        <w:rFonts w:ascii="Wingdings" w:hAnsi="Wingdings" w:hint="default"/>
      </w:rPr>
    </w:lvl>
    <w:lvl w:ilvl="6" w:tplc="FFE0D74C" w:tentative="1">
      <w:start w:val="1"/>
      <w:numFmt w:val="bullet"/>
      <w:lvlText w:val=""/>
      <w:lvlJc w:val="left"/>
      <w:pPr>
        <w:tabs>
          <w:tab w:val="num" w:pos="4680"/>
        </w:tabs>
        <w:ind w:left="4680" w:hanging="360"/>
      </w:pPr>
      <w:rPr>
        <w:rFonts w:ascii="Wingdings" w:hAnsi="Wingdings" w:hint="default"/>
      </w:rPr>
    </w:lvl>
    <w:lvl w:ilvl="7" w:tplc="3E78D47E" w:tentative="1">
      <w:start w:val="1"/>
      <w:numFmt w:val="bullet"/>
      <w:lvlText w:val=""/>
      <w:lvlJc w:val="left"/>
      <w:pPr>
        <w:tabs>
          <w:tab w:val="num" w:pos="5400"/>
        </w:tabs>
        <w:ind w:left="5400" w:hanging="360"/>
      </w:pPr>
      <w:rPr>
        <w:rFonts w:ascii="Wingdings" w:hAnsi="Wingdings" w:hint="default"/>
      </w:rPr>
    </w:lvl>
    <w:lvl w:ilvl="8" w:tplc="7AFECE6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5F2D37"/>
    <w:multiLevelType w:val="hybridMultilevel"/>
    <w:tmpl w:val="80687C3E"/>
    <w:lvl w:ilvl="0" w:tplc="B2223A48">
      <w:start w:val="1"/>
      <w:numFmt w:val="bullet"/>
      <w:lvlText w:val="•"/>
      <w:lvlJc w:val="left"/>
      <w:pPr>
        <w:tabs>
          <w:tab w:val="num" w:pos="720"/>
        </w:tabs>
        <w:ind w:left="720" w:hanging="360"/>
      </w:pPr>
      <w:rPr>
        <w:rFonts w:ascii="Arial" w:hAnsi="Arial" w:hint="default"/>
      </w:rPr>
    </w:lvl>
    <w:lvl w:ilvl="1" w:tplc="25B4D554">
      <w:start w:val="1"/>
      <w:numFmt w:val="bullet"/>
      <w:lvlText w:val="•"/>
      <w:lvlJc w:val="left"/>
      <w:pPr>
        <w:tabs>
          <w:tab w:val="num" w:pos="1440"/>
        </w:tabs>
        <w:ind w:left="1440" w:hanging="360"/>
      </w:pPr>
      <w:rPr>
        <w:rFonts w:ascii="Arial" w:hAnsi="Arial" w:hint="default"/>
      </w:rPr>
    </w:lvl>
    <w:lvl w:ilvl="2" w:tplc="B776B4C8" w:tentative="1">
      <w:start w:val="1"/>
      <w:numFmt w:val="bullet"/>
      <w:lvlText w:val="•"/>
      <w:lvlJc w:val="left"/>
      <w:pPr>
        <w:tabs>
          <w:tab w:val="num" w:pos="2160"/>
        </w:tabs>
        <w:ind w:left="2160" w:hanging="360"/>
      </w:pPr>
      <w:rPr>
        <w:rFonts w:ascii="Arial" w:hAnsi="Arial" w:hint="default"/>
      </w:rPr>
    </w:lvl>
    <w:lvl w:ilvl="3" w:tplc="FBBE3234" w:tentative="1">
      <w:start w:val="1"/>
      <w:numFmt w:val="bullet"/>
      <w:lvlText w:val="•"/>
      <w:lvlJc w:val="left"/>
      <w:pPr>
        <w:tabs>
          <w:tab w:val="num" w:pos="2880"/>
        </w:tabs>
        <w:ind w:left="2880" w:hanging="360"/>
      </w:pPr>
      <w:rPr>
        <w:rFonts w:ascii="Arial" w:hAnsi="Arial" w:hint="default"/>
      </w:rPr>
    </w:lvl>
    <w:lvl w:ilvl="4" w:tplc="5E7EA110" w:tentative="1">
      <w:start w:val="1"/>
      <w:numFmt w:val="bullet"/>
      <w:lvlText w:val="•"/>
      <w:lvlJc w:val="left"/>
      <w:pPr>
        <w:tabs>
          <w:tab w:val="num" w:pos="3600"/>
        </w:tabs>
        <w:ind w:left="3600" w:hanging="360"/>
      </w:pPr>
      <w:rPr>
        <w:rFonts w:ascii="Arial" w:hAnsi="Arial" w:hint="default"/>
      </w:rPr>
    </w:lvl>
    <w:lvl w:ilvl="5" w:tplc="6EDE9C4C" w:tentative="1">
      <w:start w:val="1"/>
      <w:numFmt w:val="bullet"/>
      <w:lvlText w:val="•"/>
      <w:lvlJc w:val="left"/>
      <w:pPr>
        <w:tabs>
          <w:tab w:val="num" w:pos="4320"/>
        </w:tabs>
        <w:ind w:left="4320" w:hanging="360"/>
      </w:pPr>
      <w:rPr>
        <w:rFonts w:ascii="Arial" w:hAnsi="Arial" w:hint="default"/>
      </w:rPr>
    </w:lvl>
    <w:lvl w:ilvl="6" w:tplc="B77471B2" w:tentative="1">
      <w:start w:val="1"/>
      <w:numFmt w:val="bullet"/>
      <w:lvlText w:val="•"/>
      <w:lvlJc w:val="left"/>
      <w:pPr>
        <w:tabs>
          <w:tab w:val="num" w:pos="5040"/>
        </w:tabs>
        <w:ind w:left="5040" w:hanging="360"/>
      </w:pPr>
      <w:rPr>
        <w:rFonts w:ascii="Arial" w:hAnsi="Arial" w:hint="default"/>
      </w:rPr>
    </w:lvl>
    <w:lvl w:ilvl="7" w:tplc="272C2F68" w:tentative="1">
      <w:start w:val="1"/>
      <w:numFmt w:val="bullet"/>
      <w:lvlText w:val="•"/>
      <w:lvlJc w:val="left"/>
      <w:pPr>
        <w:tabs>
          <w:tab w:val="num" w:pos="5760"/>
        </w:tabs>
        <w:ind w:left="5760" w:hanging="360"/>
      </w:pPr>
      <w:rPr>
        <w:rFonts w:ascii="Arial" w:hAnsi="Arial" w:hint="default"/>
      </w:rPr>
    </w:lvl>
    <w:lvl w:ilvl="8" w:tplc="FC3065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0B56F4"/>
    <w:multiLevelType w:val="hybridMultilevel"/>
    <w:tmpl w:val="3BFCB32A"/>
    <w:lvl w:ilvl="0" w:tplc="EECA48F6">
      <w:start w:val="1"/>
      <w:numFmt w:val="bullet"/>
      <w:lvlText w:val=""/>
      <w:lvlJc w:val="left"/>
      <w:pPr>
        <w:tabs>
          <w:tab w:val="num" w:pos="360"/>
        </w:tabs>
        <w:ind w:left="360" w:hanging="360"/>
      </w:pPr>
      <w:rPr>
        <w:rFonts w:ascii="Wingdings" w:hAnsi="Wingdings" w:hint="default"/>
      </w:rPr>
    </w:lvl>
    <w:lvl w:ilvl="1" w:tplc="6B10B078">
      <w:start w:val="59"/>
      <w:numFmt w:val="bullet"/>
      <w:lvlText w:val=""/>
      <w:lvlJc w:val="left"/>
      <w:pPr>
        <w:tabs>
          <w:tab w:val="num" w:pos="1080"/>
        </w:tabs>
        <w:ind w:left="1080" w:hanging="360"/>
      </w:pPr>
      <w:rPr>
        <w:rFonts w:ascii="Wingdings" w:hAnsi="Wingdings" w:hint="default"/>
      </w:rPr>
    </w:lvl>
    <w:lvl w:ilvl="2" w:tplc="9FDC26DC">
      <w:start w:val="59"/>
      <w:numFmt w:val="bullet"/>
      <w:lvlText w:val=""/>
      <w:lvlJc w:val="left"/>
      <w:pPr>
        <w:tabs>
          <w:tab w:val="num" w:pos="1800"/>
        </w:tabs>
        <w:ind w:left="1800" w:hanging="360"/>
      </w:pPr>
      <w:rPr>
        <w:rFonts w:ascii="Wingdings" w:hAnsi="Wingdings" w:hint="default"/>
      </w:rPr>
    </w:lvl>
    <w:lvl w:ilvl="3" w:tplc="4CD6FDA0" w:tentative="1">
      <w:start w:val="1"/>
      <w:numFmt w:val="bullet"/>
      <w:lvlText w:val=""/>
      <w:lvlJc w:val="left"/>
      <w:pPr>
        <w:tabs>
          <w:tab w:val="num" w:pos="2520"/>
        </w:tabs>
        <w:ind w:left="2520" w:hanging="360"/>
      </w:pPr>
      <w:rPr>
        <w:rFonts w:ascii="Wingdings" w:hAnsi="Wingdings" w:hint="default"/>
      </w:rPr>
    </w:lvl>
    <w:lvl w:ilvl="4" w:tplc="A62C5820" w:tentative="1">
      <w:start w:val="1"/>
      <w:numFmt w:val="bullet"/>
      <w:lvlText w:val=""/>
      <w:lvlJc w:val="left"/>
      <w:pPr>
        <w:tabs>
          <w:tab w:val="num" w:pos="3240"/>
        </w:tabs>
        <w:ind w:left="3240" w:hanging="360"/>
      </w:pPr>
      <w:rPr>
        <w:rFonts w:ascii="Wingdings" w:hAnsi="Wingdings" w:hint="default"/>
      </w:rPr>
    </w:lvl>
    <w:lvl w:ilvl="5" w:tplc="397A65A6" w:tentative="1">
      <w:start w:val="1"/>
      <w:numFmt w:val="bullet"/>
      <w:lvlText w:val=""/>
      <w:lvlJc w:val="left"/>
      <w:pPr>
        <w:tabs>
          <w:tab w:val="num" w:pos="3960"/>
        </w:tabs>
        <w:ind w:left="3960" w:hanging="360"/>
      </w:pPr>
      <w:rPr>
        <w:rFonts w:ascii="Wingdings" w:hAnsi="Wingdings" w:hint="default"/>
      </w:rPr>
    </w:lvl>
    <w:lvl w:ilvl="6" w:tplc="FFE0D74C" w:tentative="1">
      <w:start w:val="1"/>
      <w:numFmt w:val="bullet"/>
      <w:lvlText w:val=""/>
      <w:lvlJc w:val="left"/>
      <w:pPr>
        <w:tabs>
          <w:tab w:val="num" w:pos="4680"/>
        </w:tabs>
        <w:ind w:left="4680" w:hanging="360"/>
      </w:pPr>
      <w:rPr>
        <w:rFonts w:ascii="Wingdings" w:hAnsi="Wingdings" w:hint="default"/>
      </w:rPr>
    </w:lvl>
    <w:lvl w:ilvl="7" w:tplc="3E78D47E" w:tentative="1">
      <w:start w:val="1"/>
      <w:numFmt w:val="bullet"/>
      <w:lvlText w:val=""/>
      <w:lvlJc w:val="left"/>
      <w:pPr>
        <w:tabs>
          <w:tab w:val="num" w:pos="5400"/>
        </w:tabs>
        <w:ind w:left="5400" w:hanging="360"/>
      </w:pPr>
      <w:rPr>
        <w:rFonts w:ascii="Wingdings" w:hAnsi="Wingdings" w:hint="default"/>
      </w:rPr>
    </w:lvl>
    <w:lvl w:ilvl="8" w:tplc="7AFECE6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652430"/>
    <w:multiLevelType w:val="hybridMultilevel"/>
    <w:tmpl w:val="0A1A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54B1F"/>
    <w:multiLevelType w:val="hybridMultilevel"/>
    <w:tmpl w:val="7632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104FCD"/>
    <w:multiLevelType w:val="hybridMultilevel"/>
    <w:tmpl w:val="731A1B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780068"/>
    <w:multiLevelType w:val="hybridMultilevel"/>
    <w:tmpl w:val="98404370"/>
    <w:lvl w:ilvl="0" w:tplc="0409000F">
      <w:start w:val="1"/>
      <w:numFmt w:val="decimal"/>
      <w:lvlText w:val="%1."/>
      <w:lvlJc w:val="left"/>
      <w:pPr>
        <w:ind w:left="833" w:hanging="360"/>
      </w:pPr>
    </w:lvl>
    <w:lvl w:ilvl="1" w:tplc="04090019">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4" w15:restartNumberingAfterBreak="0">
    <w:nsid w:val="5AA64997"/>
    <w:multiLevelType w:val="multilevel"/>
    <w:tmpl w:val="C5BEB0D2"/>
    <w:lvl w:ilvl="0">
      <w:start w:val="1"/>
      <w:numFmt w:val="bullet"/>
      <w:lvlText w:val=""/>
      <w:lvlJc w:val="left"/>
      <w:pPr>
        <w:tabs>
          <w:tab w:val="num" w:pos="792"/>
        </w:tabs>
        <w:ind w:left="792" w:hanging="432"/>
      </w:pPr>
      <w:rPr>
        <w:rFonts w:ascii="Symbol" w:hAnsi="Symbol" w:hint="default"/>
      </w:rPr>
    </w:lvl>
    <w:lvl w:ilvl="1">
      <w:start w:val="1"/>
      <w:numFmt w:val="bullet"/>
      <w:lvlText w:val="o"/>
      <w:lvlJc w:val="left"/>
      <w:pPr>
        <w:tabs>
          <w:tab w:val="num" w:pos="1224"/>
        </w:tabs>
        <w:ind w:left="1224" w:hanging="432"/>
      </w:pPr>
      <w:rPr>
        <w:rFonts w:hint="default"/>
      </w:rPr>
    </w:lvl>
    <w:lvl w:ilvl="2">
      <w:start w:val="1"/>
      <w:numFmt w:val="bullet"/>
      <w:lvlText w:val=""/>
      <w:lvlJc w:val="left"/>
      <w:pPr>
        <w:tabs>
          <w:tab w:val="num" w:pos="1656"/>
        </w:tabs>
        <w:ind w:left="1656" w:hanging="432"/>
      </w:pPr>
      <w:rPr>
        <w:rFonts w:ascii="Wingdings" w:hAnsi="Wingdings" w:hint="default"/>
      </w:rPr>
    </w:lvl>
    <w:lvl w:ilvl="3">
      <w:start w:val="1"/>
      <w:numFmt w:val="bullet"/>
      <w:lvlText w:val=""/>
      <w:lvlJc w:val="left"/>
      <w:pPr>
        <w:tabs>
          <w:tab w:val="num" w:pos="2088"/>
        </w:tabs>
        <w:ind w:left="2088" w:hanging="432"/>
      </w:pPr>
      <w:rPr>
        <w:rFonts w:ascii="Symbol" w:hAnsi="Symbol" w:hint="default"/>
      </w:rPr>
    </w:lvl>
    <w:lvl w:ilvl="4">
      <w:start w:val="1"/>
      <w:numFmt w:val="bullet"/>
      <w:lvlText w:val="o"/>
      <w:lvlJc w:val="left"/>
      <w:pPr>
        <w:tabs>
          <w:tab w:val="num" w:pos="2520"/>
        </w:tabs>
        <w:ind w:left="2520" w:hanging="432"/>
      </w:pPr>
      <w:rPr>
        <w:rFonts w:hint="default"/>
      </w:rPr>
    </w:lvl>
    <w:lvl w:ilvl="5">
      <w:start w:val="1"/>
      <w:numFmt w:val="bullet"/>
      <w:lvlText w:val=""/>
      <w:lvlJc w:val="left"/>
      <w:pPr>
        <w:tabs>
          <w:tab w:val="num" w:pos="2952"/>
        </w:tabs>
        <w:ind w:left="2952" w:hanging="432"/>
      </w:pPr>
      <w:rPr>
        <w:rFonts w:ascii="Wingdings" w:hAnsi="Wingdings" w:hint="default"/>
      </w:rPr>
    </w:lvl>
    <w:lvl w:ilvl="6">
      <w:start w:val="1"/>
      <w:numFmt w:val="bullet"/>
      <w:lvlText w:val=""/>
      <w:lvlJc w:val="left"/>
      <w:pPr>
        <w:tabs>
          <w:tab w:val="num" w:pos="3384"/>
        </w:tabs>
        <w:ind w:left="3384" w:hanging="432"/>
      </w:pPr>
      <w:rPr>
        <w:rFonts w:ascii="Symbol" w:hAnsi="Symbol" w:hint="default"/>
      </w:rPr>
    </w:lvl>
    <w:lvl w:ilvl="7">
      <w:start w:val="1"/>
      <w:numFmt w:val="bullet"/>
      <w:lvlText w:val="o"/>
      <w:lvlJc w:val="left"/>
      <w:pPr>
        <w:tabs>
          <w:tab w:val="num" w:pos="3816"/>
        </w:tabs>
        <w:ind w:left="3816" w:hanging="432"/>
      </w:pPr>
      <w:rPr>
        <w:rFonts w:hint="default"/>
      </w:rPr>
    </w:lvl>
    <w:lvl w:ilvl="8">
      <w:start w:val="1"/>
      <w:numFmt w:val="bullet"/>
      <w:lvlText w:val=""/>
      <w:lvlJc w:val="left"/>
      <w:pPr>
        <w:tabs>
          <w:tab w:val="num" w:pos="4248"/>
        </w:tabs>
        <w:ind w:left="4248" w:hanging="432"/>
      </w:pPr>
      <w:rPr>
        <w:rFonts w:ascii="Wingdings" w:hAnsi="Wingdings" w:hint="default"/>
      </w:rPr>
    </w:lvl>
  </w:abstractNum>
  <w:abstractNum w:abstractNumId="15" w15:restartNumberingAfterBreak="0">
    <w:nsid w:val="5E785DB0"/>
    <w:multiLevelType w:val="hybridMultilevel"/>
    <w:tmpl w:val="CA6C3E24"/>
    <w:lvl w:ilvl="0" w:tplc="7592DB8A">
      <w:start w:val="1"/>
      <w:numFmt w:val="bullet"/>
      <w:lvlText w:val="•"/>
      <w:lvlJc w:val="left"/>
      <w:pPr>
        <w:tabs>
          <w:tab w:val="num" w:pos="720"/>
        </w:tabs>
        <w:ind w:left="720" w:hanging="360"/>
      </w:pPr>
      <w:rPr>
        <w:rFonts w:ascii="Arial" w:hAnsi="Arial" w:hint="default"/>
      </w:rPr>
    </w:lvl>
    <w:lvl w:ilvl="1" w:tplc="DE446672">
      <w:start w:val="1"/>
      <w:numFmt w:val="bullet"/>
      <w:lvlText w:val="•"/>
      <w:lvlJc w:val="left"/>
      <w:pPr>
        <w:tabs>
          <w:tab w:val="num" w:pos="1440"/>
        </w:tabs>
        <w:ind w:left="1440" w:hanging="360"/>
      </w:pPr>
      <w:rPr>
        <w:rFonts w:ascii="Arial" w:hAnsi="Arial" w:hint="default"/>
      </w:rPr>
    </w:lvl>
    <w:lvl w:ilvl="2" w:tplc="900A5788" w:tentative="1">
      <w:start w:val="1"/>
      <w:numFmt w:val="bullet"/>
      <w:lvlText w:val="•"/>
      <w:lvlJc w:val="left"/>
      <w:pPr>
        <w:tabs>
          <w:tab w:val="num" w:pos="2160"/>
        </w:tabs>
        <w:ind w:left="2160" w:hanging="360"/>
      </w:pPr>
      <w:rPr>
        <w:rFonts w:ascii="Arial" w:hAnsi="Arial" w:hint="default"/>
      </w:rPr>
    </w:lvl>
    <w:lvl w:ilvl="3" w:tplc="9658363C" w:tentative="1">
      <w:start w:val="1"/>
      <w:numFmt w:val="bullet"/>
      <w:lvlText w:val="•"/>
      <w:lvlJc w:val="left"/>
      <w:pPr>
        <w:tabs>
          <w:tab w:val="num" w:pos="2880"/>
        </w:tabs>
        <w:ind w:left="2880" w:hanging="360"/>
      </w:pPr>
      <w:rPr>
        <w:rFonts w:ascii="Arial" w:hAnsi="Arial" w:hint="default"/>
      </w:rPr>
    </w:lvl>
    <w:lvl w:ilvl="4" w:tplc="E6A27C62" w:tentative="1">
      <w:start w:val="1"/>
      <w:numFmt w:val="bullet"/>
      <w:lvlText w:val="•"/>
      <w:lvlJc w:val="left"/>
      <w:pPr>
        <w:tabs>
          <w:tab w:val="num" w:pos="3600"/>
        </w:tabs>
        <w:ind w:left="3600" w:hanging="360"/>
      </w:pPr>
      <w:rPr>
        <w:rFonts w:ascii="Arial" w:hAnsi="Arial" w:hint="default"/>
      </w:rPr>
    </w:lvl>
    <w:lvl w:ilvl="5" w:tplc="3FEC9D5C" w:tentative="1">
      <w:start w:val="1"/>
      <w:numFmt w:val="bullet"/>
      <w:lvlText w:val="•"/>
      <w:lvlJc w:val="left"/>
      <w:pPr>
        <w:tabs>
          <w:tab w:val="num" w:pos="4320"/>
        </w:tabs>
        <w:ind w:left="4320" w:hanging="360"/>
      </w:pPr>
      <w:rPr>
        <w:rFonts w:ascii="Arial" w:hAnsi="Arial" w:hint="default"/>
      </w:rPr>
    </w:lvl>
    <w:lvl w:ilvl="6" w:tplc="81D09514" w:tentative="1">
      <w:start w:val="1"/>
      <w:numFmt w:val="bullet"/>
      <w:lvlText w:val="•"/>
      <w:lvlJc w:val="left"/>
      <w:pPr>
        <w:tabs>
          <w:tab w:val="num" w:pos="5040"/>
        </w:tabs>
        <w:ind w:left="5040" w:hanging="360"/>
      </w:pPr>
      <w:rPr>
        <w:rFonts w:ascii="Arial" w:hAnsi="Arial" w:hint="default"/>
      </w:rPr>
    </w:lvl>
    <w:lvl w:ilvl="7" w:tplc="96EE9C06" w:tentative="1">
      <w:start w:val="1"/>
      <w:numFmt w:val="bullet"/>
      <w:lvlText w:val="•"/>
      <w:lvlJc w:val="left"/>
      <w:pPr>
        <w:tabs>
          <w:tab w:val="num" w:pos="5760"/>
        </w:tabs>
        <w:ind w:left="5760" w:hanging="360"/>
      </w:pPr>
      <w:rPr>
        <w:rFonts w:ascii="Arial" w:hAnsi="Arial" w:hint="default"/>
      </w:rPr>
    </w:lvl>
    <w:lvl w:ilvl="8" w:tplc="436627B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8D8776F"/>
    <w:multiLevelType w:val="hybridMultilevel"/>
    <w:tmpl w:val="72EC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AB6EBD"/>
    <w:multiLevelType w:val="hybridMultilevel"/>
    <w:tmpl w:val="2406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7"/>
  </w:num>
  <w:num w:numId="4">
    <w:abstractNumId w:val="13"/>
  </w:num>
  <w:num w:numId="5">
    <w:abstractNumId w:val="12"/>
  </w:num>
  <w:num w:numId="6">
    <w:abstractNumId w:val="5"/>
  </w:num>
  <w:num w:numId="7">
    <w:abstractNumId w:val="11"/>
  </w:num>
  <w:num w:numId="8">
    <w:abstractNumId w:val="10"/>
  </w:num>
  <w:num w:numId="9">
    <w:abstractNumId w:val="16"/>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8"/>
  </w:num>
  <w:num w:numId="14">
    <w:abstractNumId w:val="15"/>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
  </w:num>
  <w:num w:numId="18">
    <w:abstractNumId w:val="4"/>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E3F"/>
    <w:rsid w:val="00006902"/>
    <w:rsid w:val="00014CA1"/>
    <w:rsid w:val="00023B49"/>
    <w:rsid w:val="0004379B"/>
    <w:rsid w:val="0004646B"/>
    <w:rsid w:val="00076F43"/>
    <w:rsid w:val="0008605A"/>
    <w:rsid w:val="00086417"/>
    <w:rsid w:val="000B5191"/>
    <w:rsid w:val="000D6E0D"/>
    <w:rsid w:val="000E061C"/>
    <w:rsid w:val="000E2355"/>
    <w:rsid w:val="000F0E9F"/>
    <w:rsid w:val="00101AC1"/>
    <w:rsid w:val="00114B12"/>
    <w:rsid w:val="0012050B"/>
    <w:rsid w:val="00131DF3"/>
    <w:rsid w:val="00143946"/>
    <w:rsid w:val="001517E6"/>
    <w:rsid w:val="00164854"/>
    <w:rsid w:val="001740EB"/>
    <w:rsid w:val="001752E8"/>
    <w:rsid w:val="001756A6"/>
    <w:rsid w:val="00175EDB"/>
    <w:rsid w:val="00175F3C"/>
    <w:rsid w:val="00181E74"/>
    <w:rsid w:val="001A6493"/>
    <w:rsid w:val="001A6F53"/>
    <w:rsid w:val="001B2C7A"/>
    <w:rsid w:val="001B2E14"/>
    <w:rsid w:val="001C7723"/>
    <w:rsid w:val="001D35F5"/>
    <w:rsid w:val="001D3DAE"/>
    <w:rsid w:val="001F210A"/>
    <w:rsid w:val="001F2B91"/>
    <w:rsid w:val="001F7354"/>
    <w:rsid w:val="00213FE1"/>
    <w:rsid w:val="00214D6A"/>
    <w:rsid w:val="002168D1"/>
    <w:rsid w:val="00254AFD"/>
    <w:rsid w:val="00255E89"/>
    <w:rsid w:val="002831E1"/>
    <w:rsid w:val="002936B2"/>
    <w:rsid w:val="00296061"/>
    <w:rsid w:val="002A4130"/>
    <w:rsid w:val="002B116F"/>
    <w:rsid w:val="002B7663"/>
    <w:rsid w:val="002D4AFA"/>
    <w:rsid w:val="002D54D0"/>
    <w:rsid w:val="002F483D"/>
    <w:rsid w:val="00306F5A"/>
    <w:rsid w:val="00323003"/>
    <w:rsid w:val="003237D5"/>
    <w:rsid w:val="0033476C"/>
    <w:rsid w:val="0033646D"/>
    <w:rsid w:val="00354C30"/>
    <w:rsid w:val="003613DF"/>
    <w:rsid w:val="0036570B"/>
    <w:rsid w:val="00387DF7"/>
    <w:rsid w:val="003A7E97"/>
    <w:rsid w:val="003B3B06"/>
    <w:rsid w:val="003D3B6B"/>
    <w:rsid w:val="003D6610"/>
    <w:rsid w:val="003E0C23"/>
    <w:rsid w:val="003F0401"/>
    <w:rsid w:val="003F0713"/>
    <w:rsid w:val="003F69F6"/>
    <w:rsid w:val="003F7CFC"/>
    <w:rsid w:val="00411F63"/>
    <w:rsid w:val="00420CEC"/>
    <w:rsid w:val="0042254D"/>
    <w:rsid w:val="00423B56"/>
    <w:rsid w:val="0042572B"/>
    <w:rsid w:val="004355B1"/>
    <w:rsid w:val="004409F0"/>
    <w:rsid w:val="00455A20"/>
    <w:rsid w:val="00464126"/>
    <w:rsid w:val="00475565"/>
    <w:rsid w:val="00475AC9"/>
    <w:rsid w:val="0049137D"/>
    <w:rsid w:val="00494D18"/>
    <w:rsid w:val="004A2647"/>
    <w:rsid w:val="004B557E"/>
    <w:rsid w:val="004C176F"/>
    <w:rsid w:val="004C7C68"/>
    <w:rsid w:val="004D44C1"/>
    <w:rsid w:val="004D72A1"/>
    <w:rsid w:val="004E3DAC"/>
    <w:rsid w:val="004E4DA8"/>
    <w:rsid w:val="004E5050"/>
    <w:rsid w:val="00505A4F"/>
    <w:rsid w:val="00506651"/>
    <w:rsid w:val="0052276E"/>
    <w:rsid w:val="0052314A"/>
    <w:rsid w:val="005A4B8E"/>
    <w:rsid w:val="005A5CE7"/>
    <w:rsid w:val="005D09D3"/>
    <w:rsid w:val="005D5710"/>
    <w:rsid w:val="005E0E1C"/>
    <w:rsid w:val="005E1AA2"/>
    <w:rsid w:val="005F28E1"/>
    <w:rsid w:val="006055B2"/>
    <w:rsid w:val="00613EF9"/>
    <w:rsid w:val="00640532"/>
    <w:rsid w:val="00641E56"/>
    <w:rsid w:val="00647538"/>
    <w:rsid w:val="00676265"/>
    <w:rsid w:val="006802F2"/>
    <w:rsid w:val="006932FE"/>
    <w:rsid w:val="006B1FAF"/>
    <w:rsid w:val="006D0DEE"/>
    <w:rsid w:val="006D5370"/>
    <w:rsid w:val="006D776F"/>
    <w:rsid w:val="006E17E0"/>
    <w:rsid w:val="006F43E6"/>
    <w:rsid w:val="006F6627"/>
    <w:rsid w:val="007104CC"/>
    <w:rsid w:val="00745264"/>
    <w:rsid w:val="00752898"/>
    <w:rsid w:val="00775F9E"/>
    <w:rsid w:val="00796470"/>
    <w:rsid w:val="007A3767"/>
    <w:rsid w:val="007B2EE8"/>
    <w:rsid w:val="007C6206"/>
    <w:rsid w:val="007C6C25"/>
    <w:rsid w:val="007D31E5"/>
    <w:rsid w:val="007D59E1"/>
    <w:rsid w:val="007E2803"/>
    <w:rsid w:val="00813DA2"/>
    <w:rsid w:val="00823844"/>
    <w:rsid w:val="00824170"/>
    <w:rsid w:val="00824CEA"/>
    <w:rsid w:val="00850573"/>
    <w:rsid w:val="00852251"/>
    <w:rsid w:val="008675BE"/>
    <w:rsid w:val="0087318D"/>
    <w:rsid w:val="00892908"/>
    <w:rsid w:val="008D6458"/>
    <w:rsid w:val="008F1C8F"/>
    <w:rsid w:val="00903D6F"/>
    <w:rsid w:val="00912173"/>
    <w:rsid w:val="00913511"/>
    <w:rsid w:val="00916251"/>
    <w:rsid w:val="0094688D"/>
    <w:rsid w:val="00960A42"/>
    <w:rsid w:val="00961169"/>
    <w:rsid w:val="009844FA"/>
    <w:rsid w:val="009A09E0"/>
    <w:rsid w:val="009A52D0"/>
    <w:rsid w:val="009D6BD7"/>
    <w:rsid w:val="009E01A4"/>
    <w:rsid w:val="009E6B72"/>
    <w:rsid w:val="009F3148"/>
    <w:rsid w:val="00A0239A"/>
    <w:rsid w:val="00A03645"/>
    <w:rsid w:val="00A40FFF"/>
    <w:rsid w:val="00A443E8"/>
    <w:rsid w:val="00A4566D"/>
    <w:rsid w:val="00A606CB"/>
    <w:rsid w:val="00A616CE"/>
    <w:rsid w:val="00A75D56"/>
    <w:rsid w:val="00A77285"/>
    <w:rsid w:val="00A917EF"/>
    <w:rsid w:val="00AC3E3F"/>
    <w:rsid w:val="00AC4A76"/>
    <w:rsid w:val="00AC763D"/>
    <w:rsid w:val="00AC7BA1"/>
    <w:rsid w:val="00AD0E1A"/>
    <w:rsid w:val="00AD5E93"/>
    <w:rsid w:val="00AE3BB2"/>
    <w:rsid w:val="00AE3D3A"/>
    <w:rsid w:val="00AE4AF2"/>
    <w:rsid w:val="00AF4709"/>
    <w:rsid w:val="00B01645"/>
    <w:rsid w:val="00B23112"/>
    <w:rsid w:val="00B27D89"/>
    <w:rsid w:val="00B327EE"/>
    <w:rsid w:val="00B57540"/>
    <w:rsid w:val="00B64A25"/>
    <w:rsid w:val="00B71A42"/>
    <w:rsid w:val="00B814B0"/>
    <w:rsid w:val="00BA1D44"/>
    <w:rsid w:val="00BB3C51"/>
    <w:rsid w:val="00BB53C4"/>
    <w:rsid w:val="00BC28C5"/>
    <w:rsid w:val="00BC47A0"/>
    <w:rsid w:val="00BD30B6"/>
    <w:rsid w:val="00BD38DA"/>
    <w:rsid w:val="00BE5430"/>
    <w:rsid w:val="00C00028"/>
    <w:rsid w:val="00C01FF4"/>
    <w:rsid w:val="00C274FA"/>
    <w:rsid w:val="00C34E3E"/>
    <w:rsid w:val="00C4647D"/>
    <w:rsid w:val="00C54835"/>
    <w:rsid w:val="00C642DE"/>
    <w:rsid w:val="00C73BA6"/>
    <w:rsid w:val="00C76EB9"/>
    <w:rsid w:val="00C90319"/>
    <w:rsid w:val="00C90A60"/>
    <w:rsid w:val="00CA13F0"/>
    <w:rsid w:val="00CB7EFF"/>
    <w:rsid w:val="00CC3E19"/>
    <w:rsid w:val="00CF28F0"/>
    <w:rsid w:val="00CF4F71"/>
    <w:rsid w:val="00D00165"/>
    <w:rsid w:val="00D264AC"/>
    <w:rsid w:val="00D323A5"/>
    <w:rsid w:val="00D35356"/>
    <w:rsid w:val="00D54CC0"/>
    <w:rsid w:val="00D55069"/>
    <w:rsid w:val="00D65857"/>
    <w:rsid w:val="00D70DB8"/>
    <w:rsid w:val="00D87DB2"/>
    <w:rsid w:val="00D9571C"/>
    <w:rsid w:val="00DC39DE"/>
    <w:rsid w:val="00DD09FE"/>
    <w:rsid w:val="00DD2227"/>
    <w:rsid w:val="00DD5CB0"/>
    <w:rsid w:val="00DE09E3"/>
    <w:rsid w:val="00DE57C0"/>
    <w:rsid w:val="00DF6739"/>
    <w:rsid w:val="00E0296C"/>
    <w:rsid w:val="00E148AC"/>
    <w:rsid w:val="00E31389"/>
    <w:rsid w:val="00E34976"/>
    <w:rsid w:val="00E37392"/>
    <w:rsid w:val="00E640A8"/>
    <w:rsid w:val="00E65FCC"/>
    <w:rsid w:val="00E66FF0"/>
    <w:rsid w:val="00EA57C8"/>
    <w:rsid w:val="00EB5D5D"/>
    <w:rsid w:val="00EB66D7"/>
    <w:rsid w:val="00EC13F7"/>
    <w:rsid w:val="00EC158F"/>
    <w:rsid w:val="00EC3261"/>
    <w:rsid w:val="00EF5840"/>
    <w:rsid w:val="00F10906"/>
    <w:rsid w:val="00F16FC6"/>
    <w:rsid w:val="00F203EB"/>
    <w:rsid w:val="00F26E84"/>
    <w:rsid w:val="00F26F96"/>
    <w:rsid w:val="00F34229"/>
    <w:rsid w:val="00F37409"/>
    <w:rsid w:val="00F52CD9"/>
    <w:rsid w:val="00F56101"/>
    <w:rsid w:val="00F7649B"/>
    <w:rsid w:val="00F8404C"/>
    <w:rsid w:val="00F918B1"/>
    <w:rsid w:val="00FA17A8"/>
    <w:rsid w:val="00FD4628"/>
    <w:rsid w:val="00FD4BED"/>
    <w:rsid w:val="00FE10B7"/>
    <w:rsid w:val="00FE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9C28D8-644E-457F-83C8-41D64D93A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E3F"/>
    <w:pPr>
      <w:jc w:val="both"/>
    </w:pPr>
    <w:rPr>
      <w:rFonts w:ascii="Franklin Gothic Book" w:eastAsia="Times New Roman" w:hAnsi="Franklin Gothic Book" w:cs="Times New Roman"/>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C3E3F"/>
    <w:pPr>
      <w:keepLines/>
      <w:tabs>
        <w:tab w:val="center" w:pos="4320"/>
        <w:tab w:val="right" w:pos="9480"/>
      </w:tabs>
      <w:spacing w:before="600" w:after="0"/>
      <w:ind w:left="-840" w:right="-840"/>
      <w:jc w:val="center"/>
    </w:pPr>
    <w:rPr>
      <w:caps/>
      <w:spacing w:val="15"/>
      <w:sz w:val="24"/>
    </w:rPr>
  </w:style>
  <w:style w:type="character" w:customStyle="1" w:styleId="FooterChar">
    <w:name w:val="Footer Char"/>
    <w:basedOn w:val="DefaultParagraphFont"/>
    <w:link w:val="Footer"/>
    <w:uiPriority w:val="99"/>
    <w:rsid w:val="00AC3E3F"/>
    <w:rPr>
      <w:rFonts w:ascii="Franklin Gothic Book" w:eastAsia="Times New Roman" w:hAnsi="Franklin Gothic Book" w:cs="Times New Roman"/>
      <w:caps/>
      <w:spacing w:val="15"/>
      <w:sz w:val="24"/>
      <w:szCs w:val="20"/>
      <w:lang w:bidi="en-US"/>
    </w:rPr>
  </w:style>
  <w:style w:type="paragraph" w:styleId="Header">
    <w:name w:val="header"/>
    <w:basedOn w:val="Normal"/>
    <w:link w:val="HeaderChar"/>
    <w:uiPriority w:val="99"/>
    <w:rsid w:val="00AC3E3F"/>
    <w:pPr>
      <w:keepLines/>
      <w:tabs>
        <w:tab w:val="center" w:pos="4320"/>
        <w:tab w:val="right" w:pos="8640"/>
      </w:tabs>
      <w:spacing w:after="480"/>
      <w:jc w:val="center"/>
    </w:pPr>
    <w:rPr>
      <w:caps/>
      <w:spacing w:val="15"/>
      <w:sz w:val="18"/>
    </w:rPr>
  </w:style>
  <w:style w:type="character" w:customStyle="1" w:styleId="HeaderChar">
    <w:name w:val="Header Char"/>
    <w:basedOn w:val="DefaultParagraphFont"/>
    <w:link w:val="Header"/>
    <w:uiPriority w:val="99"/>
    <w:rsid w:val="00AC3E3F"/>
    <w:rPr>
      <w:rFonts w:ascii="Franklin Gothic Book" w:eastAsia="Times New Roman" w:hAnsi="Franklin Gothic Book" w:cs="Times New Roman"/>
      <w:caps/>
      <w:spacing w:val="15"/>
      <w:sz w:val="18"/>
      <w:szCs w:val="20"/>
      <w:lang w:bidi="en-US"/>
    </w:rPr>
  </w:style>
  <w:style w:type="character" w:styleId="PageNumber">
    <w:name w:val="page number"/>
    <w:rsid w:val="00AC3E3F"/>
    <w:rPr>
      <w:sz w:val="24"/>
    </w:rPr>
  </w:style>
  <w:style w:type="table" w:customStyle="1" w:styleId="LightList-Accent11">
    <w:name w:val="Light List - Accent 11"/>
    <w:basedOn w:val="TableNormal"/>
    <w:next w:val="LightList-Accent1"/>
    <w:uiPriority w:val="61"/>
    <w:rsid w:val="00AC3E3F"/>
    <w:pPr>
      <w:spacing w:after="0" w:line="240" w:lineRule="auto"/>
    </w:pPr>
    <w:rPr>
      <w:rFonts w:ascii="Calibri" w:eastAsia="Times New Roman"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AC3E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464126"/>
    <w:pPr>
      <w:ind w:left="720"/>
      <w:contextualSpacing/>
    </w:pPr>
  </w:style>
  <w:style w:type="character" w:styleId="CommentReference">
    <w:name w:val="annotation reference"/>
    <w:basedOn w:val="DefaultParagraphFont"/>
    <w:uiPriority w:val="99"/>
    <w:semiHidden/>
    <w:unhideWhenUsed/>
    <w:rsid w:val="00475565"/>
    <w:rPr>
      <w:sz w:val="16"/>
      <w:szCs w:val="16"/>
    </w:rPr>
  </w:style>
  <w:style w:type="paragraph" w:styleId="CommentText">
    <w:name w:val="annotation text"/>
    <w:basedOn w:val="Normal"/>
    <w:link w:val="CommentTextChar"/>
    <w:uiPriority w:val="99"/>
    <w:semiHidden/>
    <w:unhideWhenUsed/>
    <w:rsid w:val="00475565"/>
    <w:pPr>
      <w:spacing w:line="240" w:lineRule="auto"/>
    </w:pPr>
  </w:style>
  <w:style w:type="character" w:customStyle="1" w:styleId="CommentTextChar">
    <w:name w:val="Comment Text Char"/>
    <w:basedOn w:val="DefaultParagraphFont"/>
    <w:link w:val="CommentText"/>
    <w:uiPriority w:val="99"/>
    <w:semiHidden/>
    <w:rsid w:val="00475565"/>
    <w:rPr>
      <w:rFonts w:ascii="Franklin Gothic Book" w:eastAsia="Times New Roman" w:hAnsi="Franklin Gothic Book" w:cs="Times New Roman"/>
      <w:sz w:val="20"/>
      <w:szCs w:val="20"/>
      <w:lang w:bidi="en-US"/>
    </w:rPr>
  </w:style>
  <w:style w:type="paragraph" w:styleId="NoSpacing">
    <w:name w:val="No Spacing"/>
    <w:uiPriority w:val="1"/>
    <w:qFormat/>
    <w:rsid w:val="001F210A"/>
    <w:pPr>
      <w:spacing w:after="0" w:line="240" w:lineRule="auto"/>
    </w:pPr>
    <w:rPr>
      <w:rFonts w:eastAsiaTheme="minorEastAsia"/>
    </w:rPr>
  </w:style>
  <w:style w:type="character" w:styleId="Hyperlink">
    <w:name w:val="Hyperlink"/>
    <w:basedOn w:val="DefaultParagraphFont"/>
    <w:uiPriority w:val="99"/>
    <w:unhideWhenUsed/>
    <w:rsid w:val="00D65857"/>
    <w:rPr>
      <w:color w:val="0000FF" w:themeColor="hyperlink"/>
      <w:u w:val="single"/>
    </w:rPr>
  </w:style>
  <w:style w:type="paragraph" w:customStyle="1" w:styleId="Default">
    <w:name w:val="Default"/>
    <w:rsid w:val="0091625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ghtList-Accent111">
    <w:name w:val="Light List - Accent 111"/>
    <w:basedOn w:val="TableNormal"/>
    <w:uiPriority w:val="61"/>
    <w:rsid w:val="00EF5840"/>
    <w:pPr>
      <w:spacing w:after="0" w:line="240" w:lineRule="auto"/>
    </w:pPr>
    <w:rPr>
      <w:rFonts w:ascii="Calibri" w:eastAsia="Times New Roman" w:hAnsi="Calibri" w:cs="Times New Roma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semiHidden/>
    <w:unhideWhenUsed/>
    <w:rsid w:val="00387DF7"/>
    <w:pPr>
      <w:spacing w:before="100" w:beforeAutospacing="1" w:after="100" w:afterAutospacing="1" w:line="240" w:lineRule="auto"/>
      <w:jc w:val="left"/>
    </w:pPr>
    <w:rPr>
      <w:rFonts w:ascii="Times New Roman" w:hAnsi="Times New Roman"/>
      <w:sz w:val="24"/>
      <w:szCs w:val="24"/>
      <w:lang w:bidi="ar-SA"/>
    </w:rPr>
  </w:style>
  <w:style w:type="paragraph" w:styleId="PlainText">
    <w:name w:val="Plain Text"/>
    <w:basedOn w:val="Normal"/>
    <w:link w:val="PlainTextChar"/>
    <w:uiPriority w:val="99"/>
    <w:unhideWhenUsed/>
    <w:rsid w:val="00961169"/>
    <w:pPr>
      <w:spacing w:after="0" w:line="240" w:lineRule="auto"/>
      <w:jc w:val="left"/>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961169"/>
    <w:rPr>
      <w:rFonts w:ascii="Calibri" w:hAnsi="Calibri"/>
      <w:szCs w:val="21"/>
    </w:rPr>
  </w:style>
  <w:style w:type="paragraph" w:styleId="BalloonText">
    <w:name w:val="Balloon Text"/>
    <w:basedOn w:val="Normal"/>
    <w:link w:val="BalloonTextChar"/>
    <w:uiPriority w:val="99"/>
    <w:semiHidden/>
    <w:unhideWhenUsed/>
    <w:rsid w:val="00BD3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8DA"/>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850573"/>
    <w:rPr>
      <w:b/>
      <w:bCs/>
    </w:rPr>
  </w:style>
  <w:style w:type="character" w:customStyle="1" w:styleId="CommentSubjectChar">
    <w:name w:val="Comment Subject Char"/>
    <w:basedOn w:val="CommentTextChar"/>
    <w:link w:val="CommentSubject"/>
    <w:uiPriority w:val="99"/>
    <w:semiHidden/>
    <w:rsid w:val="00850573"/>
    <w:rPr>
      <w:rFonts w:ascii="Franklin Gothic Book" w:eastAsia="Times New Roman" w:hAnsi="Franklin Gothic Book"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732">
      <w:bodyDiv w:val="1"/>
      <w:marLeft w:val="0"/>
      <w:marRight w:val="0"/>
      <w:marTop w:val="0"/>
      <w:marBottom w:val="0"/>
      <w:divBdr>
        <w:top w:val="none" w:sz="0" w:space="0" w:color="auto"/>
        <w:left w:val="none" w:sz="0" w:space="0" w:color="auto"/>
        <w:bottom w:val="none" w:sz="0" w:space="0" w:color="auto"/>
        <w:right w:val="none" w:sz="0" w:space="0" w:color="auto"/>
      </w:divBdr>
    </w:div>
    <w:div w:id="22486052">
      <w:bodyDiv w:val="1"/>
      <w:marLeft w:val="0"/>
      <w:marRight w:val="0"/>
      <w:marTop w:val="0"/>
      <w:marBottom w:val="0"/>
      <w:divBdr>
        <w:top w:val="none" w:sz="0" w:space="0" w:color="auto"/>
        <w:left w:val="none" w:sz="0" w:space="0" w:color="auto"/>
        <w:bottom w:val="none" w:sz="0" w:space="0" w:color="auto"/>
        <w:right w:val="none" w:sz="0" w:space="0" w:color="auto"/>
      </w:divBdr>
    </w:div>
    <w:div w:id="43141698">
      <w:bodyDiv w:val="1"/>
      <w:marLeft w:val="0"/>
      <w:marRight w:val="0"/>
      <w:marTop w:val="0"/>
      <w:marBottom w:val="0"/>
      <w:divBdr>
        <w:top w:val="none" w:sz="0" w:space="0" w:color="auto"/>
        <w:left w:val="none" w:sz="0" w:space="0" w:color="auto"/>
        <w:bottom w:val="none" w:sz="0" w:space="0" w:color="auto"/>
        <w:right w:val="none" w:sz="0" w:space="0" w:color="auto"/>
      </w:divBdr>
    </w:div>
    <w:div w:id="49883903">
      <w:bodyDiv w:val="1"/>
      <w:marLeft w:val="0"/>
      <w:marRight w:val="0"/>
      <w:marTop w:val="0"/>
      <w:marBottom w:val="0"/>
      <w:divBdr>
        <w:top w:val="none" w:sz="0" w:space="0" w:color="auto"/>
        <w:left w:val="none" w:sz="0" w:space="0" w:color="auto"/>
        <w:bottom w:val="none" w:sz="0" w:space="0" w:color="auto"/>
        <w:right w:val="none" w:sz="0" w:space="0" w:color="auto"/>
      </w:divBdr>
    </w:div>
    <w:div w:id="73674312">
      <w:bodyDiv w:val="1"/>
      <w:marLeft w:val="0"/>
      <w:marRight w:val="0"/>
      <w:marTop w:val="0"/>
      <w:marBottom w:val="0"/>
      <w:divBdr>
        <w:top w:val="none" w:sz="0" w:space="0" w:color="auto"/>
        <w:left w:val="none" w:sz="0" w:space="0" w:color="auto"/>
        <w:bottom w:val="none" w:sz="0" w:space="0" w:color="auto"/>
        <w:right w:val="none" w:sz="0" w:space="0" w:color="auto"/>
      </w:divBdr>
    </w:div>
    <w:div w:id="112403673">
      <w:bodyDiv w:val="1"/>
      <w:marLeft w:val="0"/>
      <w:marRight w:val="0"/>
      <w:marTop w:val="0"/>
      <w:marBottom w:val="0"/>
      <w:divBdr>
        <w:top w:val="none" w:sz="0" w:space="0" w:color="auto"/>
        <w:left w:val="none" w:sz="0" w:space="0" w:color="auto"/>
        <w:bottom w:val="none" w:sz="0" w:space="0" w:color="auto"/>
        <w:right w:val="none" w:sz="0" w:space="0" w:color="auto"/>
      </w:divBdr>
    </w:div>
    <w:div w:id="124471284">
      <w:bodyDiv w:val="1"/>
      <w:marLeft w:val="0"/>
      <w:marRight w:val="0"/>
      <w:marTop w:val="0"/>
      <w:marBottom w:val="0"/>
      <w:divBdr>
        <w:top w:val="none" w:sz="0" w:space="0" w:color="auto"/>
        <w:left w:val="none" w:sz="0" w:space="0" w:color="auto"/>
        <w:bottom w:val="none" w:sz="0" w:space="0" w:color="auto"/>
        <w:right w:val="none" w:sz="0" w:space="0" w:color="auto"/>
      </w:divBdr>
    </w:div>
    <w:div w:id="135684963">
      <w:bodyDiv w:val="1"/>
      <w:marLeft w:val="0"/>
      <w:marRight w:val="0"/>
      <w:marTop w:val="0"/>
      <w:marBottom w:val="0"/>
      <w:divBdr>
        <w:top w:val="none" w:sz="0" w:space="0" w:color="auto"/>
        <w:left w:val="none" w:sz="0" w:space="0" w:color="auto"/>
        <w:bottom w:val="none" w:sz="0" w:space="0" w:color="auto"/>
        <w:right w:val="none" w:sz="0" w:space="0" w:color="auto"/>
      </w:divBdr>
    </w:div>
    <w:div w:id="145099617">
      <w:bodyDiv w:val="1"/>
      <w:marLeft w:val="0"/>
      <w:marRight w:val="0"/>
      <w:marTop w:val="0"/>
      <w:marBottom w:val="0"/>
      <w:divBdr>
        <w:top w:val="none" w:sz="0" w:space="0" w:color="auto"/>
        <w:left w:val="none" w:sz="0" w:space="0" w:color="auto"/>
        <w:bottom w:val="none" w:sz="0" w:space="0" w:color="auto"/>
        <w:right w:val="none" w:sz="0" w:space="0" w:color="auto"/>
      </w:divBdr>
    </w:div>
    <w:div w:id="283462532">
      <w:bodyDiv w:val="1"/>
      <w:marLeft w:val="0"/>
      <w:marRight w:val="0"/>
      <w:marTop w:val="0"/>
      <w:marBottom w:val="0"/>
      <w:divBdr>
        <w:top w:val="none" w:sz="0" w:space="0" w:color="auto"/>
        <w:left w:val="none" w:sz="0" w:space="0" w:color="auto"/>
        <w:bottom w:val="none" w:sz="0" w:space="0" w:color="auto"/>
        <w:right w:val="none" w:sz="0" w:space="0" w:color="auto"/>
      </w:divBdr>
    </w:div>
    <w:div w:id="289358019">
      <w:bodyDiv w:val="1"/>
      <w:marLeft w:val="0"/>
      <w:marRight w:val="0"/>
      <w:marTop w:val="0"/>
      <w:marBottom w:val="0"/>
      <w:divBdr>
        <w:top w:val="none" w:sz="0" w:space="0" w:color="auto"/>
        <w:left w:val="none" w:sz="0" w:space="0" w:color="auto"/>
        <w:bottom w:val="none" w:sz="0" w:space="0" w:color="auto"/>
        <w:right w:val="none" w:sz="0" w:space="0" w:color="auto"/>
      </w:divBdr>
    </w:div>
    <w:div w:id="330957743">
      <w:bodyDiv w:val="1"/>
      <w:marLeft w:val="0"/>
      <w:marRight w:val="0"/>
      <w:marTop w:val="0"/>
      <w:marBottom w:val="0"/>
      <w:divBdr>
        <w:top w:val="none" w:sz="0" w:space="0" w:color="auto"/>
        <w:left w:val="none" w:sz="0" w:space="0" w:color="auto"/>
        <w:bottom w:val="none" w:sz="0" w:space="0" w:color="auto"/>
        <w:right w:val="none" w:sz="0" w:space="0" w:color="auto"/>
      </w:divBdr>
    </w:div>
    <w:div w:id="492452420">
      <w:bodyDiv w:val="1"/>
      <w:marLeft w:val="0"/>
      <w:marRight w:val="0"/>
      <w:marTop w:val="0"/>
      <w:marBottom w:val="0"/>
      <w:divBdr>
        <w:top w:val="none" w:sz="0" w:space="0" w:color="auto"/>
        <w:left w:val="none" w:sz="0" w:space="0" w:color="auto"/>
        <w:bottom w:val="none" w:sz="0" w:space="0" w:color="auto"/>
        <w:right w:val="none" w:sz="0" w:space="0" w:color="auto"/>
      </w:divBdr>
    </w:div>
    <w:div w:id="569272929">
      <w:bodyDiv w:val="1"/>
      <w:marLeft w:val="0"/>
      <w:marRight w:val="0"/>
      <w:marTop w:val="0"/>
      <w:marBottom w:val="0"/>
      <w:divBdr>
        <w:top w:val="none" w:sz="0" w:space="0" w:color="auto"/>
        <w:left w:val="none" w:sz="0" w:space="0" w:color="auto"/>
        <w:bottom w:val="none" w:sz="0" w:space="0" w:color="auto"/>
        <w:right w:val="none" w:sz="0" w:space="0" w:color="auto"/>
      </w:divBdr>
    </w:div>
    <w:div w:id="576599835">
      <w:bodyDiv w:val="1"/>
      <w:marLeft w:val="0"/>
      <w:marRight w:val="0"/>
      <w:marTop w:val="0"/>
      <w:marBottom w:val="0"/>
      <w:divBdr>
        <w:top w:val="none" w:sz="0" w:space="0" w:color="auto"/>
        <w:left w:val="none" w:sz="0" w:space="0" w:color="auto"/>
        <w:bottom w:val="none" w:sz="0" w:space="0" w:color="auto"/>
        <w:right w:val="none" w:sz="0" w:space="0" w:color="auto"/>
      </w:divBdr>
    </w:div>
    <w:div w:id="627705324">
      <w:bodyDiv w:val="1"/>
      <w:marLeft w:val="0"/>
      <w:marRight w:val="0"/>
      <w:marTop w:val="0"/>
      <w:marBottom w:val="0"/>
      <w:divBdr>
        <w:top w:val="none" w:sz="0" w:space="0" w:color="auto"/>
        <w:left w:val="none" w:sz="0" w:space="0" w:color="auto"/>
        <w:bottom w:val="none" w:sz="0" w:space="0" w:color="auto"/>
        <w:right w:val="none" w:sz="0" w:space="0" w:color="auto"/>
      </w:divBdr>
    </w:div>
    <w:div w:id="688140818">
      <w:bodyDiv w:val="1"/>
      <w:marLeft w:val="0"/>
      <w:marRight w:val="0"/>
      <w:marTop w:val="0"/>
      <w:marBottom w:val="0"/>
      <w:divBdr>
        <w:top w:val="none" w:sz="0" w:space="0" w:color="auto"/>
        <w:left w:val="none" w:sz="0" w:space="0" w:color="auto"/>
        <w:bottom w:val="none" w:sz="0" w:space="0" w:color="auto"/>
        <w:right w:val="none" w:sz="0" w:space="0" w:color="auto"/>
      </w:divBdr>
    </w:div>
    <w:div w:id="692654109">
      <w:bodyDiv w:val="1"/>
      <w:marLeft w:val="0"/>
      <w:marRight w:val="0"/>
      <w:marTop w:val="0"/>
      <w:marBottom w:val="0"/>
      <w:divBdr>
        <w:top w:val="none" w:sz="0" w:space="0" w:color="auto"/>
        <w:left w:val="none" w:sz="0" w:space="0" w:color="auto"/>
        <w:bottom w:val="none" w:sz="0" w:space="0" w:color="auto"/>
        <w:right w:val="none" w:sz="0" w:space="0" w:color="auto"/>
      </w:divBdr>
      <w:divsChild>
        <w:div w:id="139228403">
          <w:marLeft w:val="1080"/>
          <w:marRight w:val="0"/>
          <w:marTop w:val="100"/>
          <w:marBottom w:val="0"/>
          <w:divBdr>
            <w:top w:val="none" w:sz="0" w:space="0" w:color="auto"/>
            <w:left w:val="none" w:sz="0" w:space="0" w:color="auto"/>
            <w:bottom w:val="none" w:sz="0" w:space="0" w:color="auto"/>
            <w:right w:val="none" w:sz="0" w:space="0" w:color="auto"/>
          </w:divBdr>
        </w:div>
        <w:div w:id="30615005">
          <w:marLeft w:val="1080"/>
          <w:marRight w:val="0"/>
          <w:marTop w:val="100"/>
          <w:marBottom w:val="0"/>
          <w:divBdr>
            <w:top w:val="none" w:sz="0" w:space="0" w:color="auto"/>
            <w:left w:val="none" w:sz="0" w:space="0" w:color="auto"/>
            <w:bottom w:val="none" w:sz="0" w:space="0" w:color="auto"/>
            <w:right w:val="none" w:sz="0" w:space="0" w:color="auto"/>
          </w:divBdr>
        </w:div>
      </w:divsChild>
    </w:div>
    <w:div w:id="712578477">
      <w:bodyDiv w:val="1"/>
      <w:marLeft w:val="0"/>
      <w:marRight w:val="0"/>
      <w:marTop w:val="0"/>
      <w:marBottom w:val="0"/>
      <w:divBdr>
        <w:top w:val="none" w:sz="0" w:space="0" w:color="auto"/>
        <w:left w:val="none" w:sz="0" w:space="0" w:color="auto"/>
        <w:bottom w:val="none" w:sz="0" w:space="0" w:color="auto"/>
        <w:right w:val="none" w:sz="0" w:space="0" w:color="auto"/>
      </w:divBdr>
    </w:div>
    <w:div w:id="734745216">
      <w:bodyDiv w:val="1"/>
      <w:marLeft w:val="0"/>
      <w:marRight w:val="0"/>
      <w:marTop w:val="0"/>
      <w:marBottom w:val="0"/>
      <w:divBdr>
        <w:top w:val="none" w:sz="0" w:space="0" w:color="auto"/>
        <w:left w:val="none" w:sz="0" w:space="0" w:color="auto"/>
        <w:bottom w:val="none" w:sz="0" w:space="0" w:color="auto"/>
        <w:right w:val="none" w:sz="0" w:space="0" w:color="auto"/>
      </w:divBdr>
    </w:div>
    <w:div w:id="758527400">
      <w:bodyDiv w:val="1"/>
      <w:marLeft w:val="0"/>
      <w:marRight w:val="0"/>
      <w:marTop w:val="0"/>
      <w:marBottom w:val="0"/>
      <w:divBdr>
        <w:top w:val="none" w:sz="0" w:space="0" w:color="auto"/>
        <w:left w:val="none" w:sz="0" w:space="0" w:color="auto"/>
        <w:bottom w:val="none" w:sz="0" w:space="0" w:color="auto"/>
        <w:right w:val="none" w:sz="0" w:space="0" w:color="auto"/>
      </w:divBdr>
    </w:div>
    <w:div w:id="771898819">
      <w:bodyDiv w:val="1"/>
      <w:marLeft w:val="0"/>
      <w:marRight w:val="0"/>
      <w:marTop w:val="0"/>
      <w:marBottom w:val="0"/>
      <w:divBdr>
        <w:top w:val="none" w:sz="0" w:space="0" w:color="auto"/>
        <w:left w:val="none" w:sz="0" w:space="0" w:color="auto"/>
        <w:bottom w:val="none" w:sz="0" w:space="0" w:color="auto"/>
        <w:right w:val="none" w:sz="0" w:space="0" w:color="auto"/>
      </w:divBdr>
    </w:div>
    <w:div w:id="777605180">
      <w:bodyDiv w:val="1"/>
      <w:marLeft w:val="0"/>
      <w:marRight w:val="0"/>
      <w:marTop w:val="0"/>
      <w:marBottom w:val="0"/>
      <w:divBdr>
        <w:top w:val="none" w:sz="0" w:space="0" w:color="auto"/>
        <w:left w:val="none" w:sz="0" w:space="0" w:color="auto"/>
        <w:bottom w:val="none" w:sz="0" w:space="0" w:color="auto"/>
        <w:right w:val="none" w:sz="0" w:space="0" w:color="auto"/>
      </w:divBdr>
    </w:div>
    <w:div w:id="796681694">
      <w:bodyDiv w:val="1"/>
      <w:marLeft w:val="0"/>
      <w:marRight w:val="0"/>
      <w:marTop w:val="0"/>
      <w:marBottom w:val="0"/>
      <w:divBdr>
        <w:top w:val="none" w:sz="0" w:space="0" w:color="auto"/>
        <w:left w:val="none" w:sz="0" w:space="0" w:color="auto"/>
        <w:bottom w:val="none" w:sz="0" w:space="0" w:color="auto"/>
        <w:right w:val="none" w:sz="0" w:space="0" w:color="auto"/>
      </w:divBdr>
    </w:div>
    <w:div w:id="801384483">
      <w:bodyDiv w:val="1"/>
      <w:marLeft w:val="0"/>
      <w:marRight w:val="0"/>
      <w:marTop w:val="0"/>
      <w:marBottom w:val="0"/>
      <w:divBdr>
        <w:top w:val="none" w:sz="0" w:space="0" w:color="auto"/>
        <w:left w:val="none" w:sz="0" w:space="0" w:color="auto"/>
        <w:bottom w:val="none" w:sz="0" w:space="0" w:color="auto"/>
        <w:right w:val="none" w:sz="0" w:space="0" w:color="auto"/>
      </w:divBdr>
    </w:div>
    <w:div w:id="848787424">
      <w:bodyDiv w:val="1"/>
      <w:marLeft w:val="0"/>
      <w:marRight w:val="0"/>
      <w:marTop w:val="0"/>
      <w:marBottom w:val="0"/>
      <w:divBdr>
        <w:top w:val="none" w:sz="0" w:space="0" w:color="auto"/>
        <w:left w:val="none" w:sz="0" w:space="0" w:color="auto"/>
        <w:bottom w:val="none" w:sz="0" w:space="0" w:color="auto"/>
        <w:right w:val="none" w:sz="0" w:space="0" w:color="auto"/>
      </w:divBdr>
    </w:div>
    <w:div w:id="884683731">
      <w:bodyDiv w:val="1"/>
      <w:marLeft w:val="0"/>
      <w:marRight w:val="0"/>
      <w:marTop w:val="0"/>
      <w:marBottom w:val="0"/>
      <w:divBdr>
        <w:top w:val="none" w:sz="0" w:space="0" w:color="auto"/>
        <w:left w:val="none" w:sz="0" w:space="0" w:color="auto"/>
        <w:bottom w:val="none" w:sz="0" w:space="0" w:color="auto"/>
        <w:right w:val="none" w:sz="0" w:space="0" w:color="auto"/>
      </w:divBdr>
    </w:div>
    <w:div w:id="931931427">
      <w:bodyDiv w:val="1"/>
      <w:marLeft w:val="0"/>
      <w:marRight w:val="0"/>
      <w:marTop w:val="0"/>
      <w:marBottom w:val="0"/>
      <w:divBdr>
        <w:top w:val="none" w:sz="0" w:space="0" w:color="auto"/>
        <w:left w:val="none" w:sz="0" w:space="0" w:color="auto"/>
        <w:bottom w:val="none" w:sz="0" w:space="0" w:color="auto"/>
        <w:right w:val="none" w:sz="0" w:space="0" w:color="auto"/>
      </w:divBdr>
    </w:div>
    <w:div w:id="960261590">
      <w:bodyDiv w:val="1"/>
      <w:marLeft w:val="0"/>
      <w:marRight w:val="0"/>
      <w:marTop w:val="0"/>
      <w:marBottom w:val="0"/>
      <w:divBdr>
        <w:top w:val="none" w:sz="0" w:space="0" w:color="auto"/>
        <w:left w:val="none" w:sz="0" w:space="0" w:color="auto"/>
        <w:bottom w:val="none" w:sz="0" w:space="0" w:color="auto"/>
        <w:right w:val="none" w:sz="0" w:space="0" w:color="auto"/>
      </w:divBdr>
    </w:div>
    <w:div w:id="995305498">
      <w:bodyDiv w:val="1"/>
      <w:marLeft w:val="0"/>
      <w:marRight w:val="0"/>
      <w:marTop w:val="0"/>
      <w:marBottom w:val="0"/>
      <w:divBdr>
        <w:top w:val="none" w:sz="0" w:space="0" w:color="auto"/>
        <w:left w:val="none" w:sz="0" w:space="0" w:color="auto"/>
        <w:bottom w:val="none" w:sz="0" w:space="0" w:color="auto"/>
        <w:right w:val="none" w:sz="0" w:space="0" w:color="auto"/>
      </w:divBdr>
    </w:div>
    <w:div w:id="1037897614">
      <w:bodyDiv w:val="1"/>
      <w:marLeft w:val="0"/>
      <w:marRight w:val="0"/>
      <w:marTop w:val="0"/>
      <w:marBottom w:val="0"/>
      <w:divBdr>
        <w:top w:val="none" w:sz="0" w:space="0" w:color="auto"/>
        <w:left w:val="none" w:sz="0" w:space="0" w:color="auto"/>
        <w:bottom w:val="none" w:sz="0" w:space="0" w:color="auto"/>
        <w:right w:val="none" w:sz="0" w:space="0" w:color="auto"/>
      </w:divBdr>
    </w:div>
    <w:div w:id="1043364741">
      <w:bodyDiv w:val="1"/>
      <w:marLeft w:val="0"/>
      <w:marRight w:val="0"/>
      <w:marTop w:val="0"/>
      <w:marBottom w:val="0"/>
      <w:divBdr>
        <w:top w:val="none" w:sz="0" w:space="0" w:color="auto"/>
        <w:left w:val="none" w:sz="0" w:space="0" w:color="auto"/>
        <w:bottom w:val="none" w:sz="0" w:space="0" w:color="auto"/>
        <w:right w:val="none" w:sz="0" w:space="0" w:color="auto"/>
      </w:divBdr>
    </w:div>
    <w:div w:id="1049115216">
      <w:bodyDiv w:val="1"/>
      <w:marLeft w:val="0"/>
      <w:marRight w:val="0"/>
      <w:marTop w:val="0"/>
      <w:marBottom w:val="0"/>
      <w:divBdr>
        <w:top w:val="none" w:sz="0" w:space="0" w:color="auto"/>
        <w:left w:val="none" w:sz="0" w:space="0" w:color="auto"/>
        <w:bottom w:val="none" w:sz="0" w:space="0" w:color="auto"/>
        <w:right w:val="none" w:sz="0" w:space="0" w:color="auto"/>
      </w:divBdr>
    </w:div>
    <w:div w:id="1089546202">
      <w:bodyDiv w:val="1"/>
      <w:marLeft w:val="0"/>
      <w:marRight w:val="0"/>
      <w:marTop w:val="0"/>
      <w:marBottom w:val="0"/>
      <w:divBdr>
        <w:top w:val="none" w:sz="0" w:space="0" w:color="auto"/>
        <w:left w:val="none" w:sz="0" w:space="0" w:color="auto"/>
        <w:bottom w:val="none" w:sz="0" w:space="0" w:color="auto"/>
        <w:right w:val="none" w:sz="0" w:space="0" w:color="auto"/>
      </w:divBdr>
    </w:div>
    <w:div w:id="1100445236">
      <w:bodyDiv w:val="1"/>
      <w:marLeft w:val="0"/>
      <w:marRight w:val="0"/>
      <w:marTop w:val="0"/>
      <w:marBottom w:val="0"/>
      <w:divBdr>
        <w:top w:val="none" w:sz="0" w:space="0" w:color="auto"/>
        <w:left w:val="none" w:sz="0" w:space="0" w:color="auto"/>
        <w:bottom w:val="none" w:sz="0" w:space="0" w:color="auto"/>
        <w:right w:val="none" w:sz="0" w:space="0" w:color="auto"/>
      </w:divBdr>
    </w:div>
    <w:div w:id="1106656270">
      <w:bodyDiv w:val="1"/>
      <w:marLeft w:val="0"/>
      <w:marRight w:val="0"/>
      <w:marTop w:val="0"/>
      <w:marBottom w:val="0"/>
      <w:divBdr>
        <w:top w:val="none" w:sz="0" w:space="0" w:color="auto"/>
        <w:left w:val="none" w:sz="0" w:space="0" w:color="auto"/>
        <w:bottom w:val="none" w:sz="0" w:space="0" w:color="auto"/>
        <w:right w:val="none" w:sz="0" w:space="0" w:color="auto"/>
      </w:divBdr>
      <w:divsChild>
        <w:div w:id="1836726080">
          <w:marLeft w:val="1080"/>
          <w:marRight w:val="0"/>
          <w:marTop w:val="100"/>
          <w:marBottom w:val="0"/>
          <w:divBdr>
            <w:top w:val="none" w:sz="0" w:space="0" w:color="auto"/>
            <w:left w:val="none" w:sz="0" w:space="0" w:color="auto"/>
            <w:bottom w:val="none" w:sz="0" w:space="0" w:color="auto"/>
            <w:right w:val="none" w:sz="0" w:space="0" w:color="auto"/>
          </w:divBdr>
        </w:div>
        <w:div w:id="606931323">
          <w:marLeft w:val="1080"/>
          <w:marRight w:val="0"/>
          <w:marTop w:val="100"/>
          <w:marBottom w:val="0"/>
          <w:divBdr>
            <w:top w:val="none" w:sz="0" w:space="0" w:color="auto"/>
            <w:left w:val="none" w:sz="0" w:space="0" w:color="auto"/>
            <w:bottom w:val="none" w:sz="0" w:space="0" w:color="auto"/>
            <w:right w:val="none" w:sz="0" w:space="0" w:color="auto"/>
          </w:divBdr>
        </w:div>
      </w:divsChild>
    </w:div>
    <w:div w:id="1120148149">
      <w:bodyDiv w:val="1"/>
      <w:marLeft w:val="0"/>
      <w:marRight w:val="0"/>
      <w:marTop w:val="0"/>
      <w:marBottom w:val="0"/>
      <w:divBdr>
        <w:top w:val="none" w:sz="0" w:space="0" w:color="auto"/>
        <w:left w:val="none" w:sz="0" w:space="0" w:color="auto"/>
        <w:bottom w:val="none" w:sz="0" w:space="0" w:color="auto"/>
        <w:right w:val="none" w:sz="0" w:space="0" w:color="auto"/>
      </w:divBdr>
    </w:div>
    <w:div w:id="1184127785">
      <w:bodyDiv w:val="1"/>
      <w:marLeft w:val="0"/>
      <w:marRight w:val="0"/>
      <w:marTop w:val="0"/>
      <w:marBottom w:val="0"/>
      <w:divBdr>
        <w:top w:val="none" w:sz="0" w:space="0" w:color="auto"/>
        <w:left w:val="none" w:sz="0" w:space="0" w:color="auto"/>
        <w:bottom w:val="none" w:sz="0" w:space="0" w:color="auto"/>
        <w:right w:val="none" w:sz="0" w:space="0" w:color="auto"/>
      </w:divBdr>
    </w:div>
    <w:div w:id="1192114307">
      <w:bodyDiv w:val="1"/>
      <w:marLeft w:val="0"/>
      <w:marRight w:val="0"/>
      <w:marTop w:val="0"/>
      <w:marBottom w:val="0"/>
      <w:divBdr>
        <w:top w:val="none" w:sz="0" w:space="0" w:color="auto"/>
        <w:left w:val="none" w:sz="0" w:space="0" w:color="auto"/>
        <w:bottom w:val="none" w:sz="0" w:space="0" w:color="auto"/>
        <w:right w:val="none" w:sz="0" w:space="0" w:color="auto"/>
      </w:divBdr>
    </w:div>
    <w:div w:id="1284193194">
      <w:bodyDiv w:val="1"/>
      <w:marLeft w:val="0"/>
      <w:marRight w:val="0"/>
      <w:marTop w:val="0"/>
      <w:marBottom w:val="0"/>
      <w:divBdr>
        <w:top w:val="none" w:sz="0" w:space="0" w:color="auto"/>
        <w:left w:val="none" w:sz="0" w:space="0" w:color="auto"/>
        <w:bottom w:val="none" w:sz="0" w:space="0" w:color="auto"/>
        <w:right w:val="none" w:sz="0" w:space="0" w:color="auto"/>
      </w:divBdr>
    </w:div>
    <w:div w:id="1333025850">
      <w:bodyDiv w:val="1"/>
      <w:marLeft w:val="0"/>
      <w:marRight w:val="0"/>
      <w:marTop w:val="0"/>
      <w:marBottom w:val="0"/>
      <w:divBdr>
        <w:top w:val="none" w:sz="0" w:space="0" w:color="auto"/>
        <w:left w:val="none" w:sz="0" w:space="0" w:color="auto"/>
        <w:bottom w:val="none" w:sz="0" w:space="0" w:color="auto"/>
        <w:right w:val="none" w:sz="0" w:space="0" w:color="auto"/>
      </w:divBdr>
    </w:div>
    <w:div w:id="1355422074">
      <w:bodyDiv w:val="1"/>
      <w:marLeft w:val="0"/>
      <w:marRight w:val="0"/>
      <w:marTop w:val="0"/>
      <w:marBottom w:val="0"/>
      <w:divBdr>
        <w:top w:val="none" w:sz="0" w:space="0" w:color="auto"/>
        <w:left w:val="none" w:sz="0" w:space="0" w:color="auto"/>
        <w:bottom w:val="none" w:sz="0" w:space="0" w:color="auto"/>
        <w:right w:val="none" w:sz="0" w:space="0" w:color="auto"/>
      </w:divBdr>
    </w:div>
    <w:div w:id="1387686084">
      <w:bodyDiv w:val="1"/>
      <w:marLeft w:val="0"/>
      <w:marRight w:val="0"/>
      <w:marTop w:val="0"/>
      <w:marBottom w:val="0"/>
      <w:divBdr>
        <w:top w:val="none" w:sz="0" w:space="0" w:color="auto"/>
        <w:left w:val="none" w:sz="0" w:space="0" w:color="auto"/>
        <w:bottom w:val="none" w:sz="0" w:space="0" w:color="auto"/>
        <w:right w:val="none" w:sz="0" w:space="0" w:color="auto"/>
      </w:divBdr>
    </w:div>
    <w:div w:id="1406412448">
      <w:bodyDiv w:val="1"/>
      <w:marLeft w:val="0"/>
      <w:marRight w:val="0"/>
      <w:marTop w:val="0"/>
      <w:marBottom w:val="0"/>
      <w:divBdr>
        <w:top w:val="none" w:sz="0" w:space="0" w:color="auto"/>
        <w:left w:val="none" w:sz="0" w:space="0" w:color="auto"/>
        <w:bottom w:val="none" w:sz="0" w:space="0" w:color="auto"/>
        <w:right w:val="none" w:sz="0" w:space="0" w:color="auto"/>
      </w:divBdr>
    </w:div>
    <w:div w:id="1413896137">
      <w:bodyDiv w:val="1"/>
      <w:marLeft w:val="0"/>
      <w:marRight w:val="0"/>
      <w:marTop w:val="0"/>
      <w:marBottom w:val="0"/>
      <w:divBdr>
        <w:top w:val="none" w:sz="0" w:space="0" w:color="auto"/>
        <w:left w:val="none" w:sz="0" w:space="0" w:color="auto"/>
        <w:bottom w:val="none" w:sz="0" w:space="0" w:color="auto"/>
        <w:right w:val="none" w:sz="0" w:space="0" w:color="auto"/>
      </w:divBdr>
    </w:div>
    <w:div w:id="1422599618">
      <w:bodyDiv w:val="1"/>
      <w:marLeft w:val="0"/>
      <w:marRight w:val="0"/>
      <w:marTop w:val="0"/>
      <w:marBottom w:val="0"/>
      <w:divBdr>
        <w:top w:val="none" w:sz="0" w:space="0" w:color="auto"/>
        <w:left w:val="none" w:sz="0" w:space="0" w:color="auto"/>
        <w:bottom w:val="none" w:sz="0" w:space="0" w:color="auto"/>
        <w:right w:val="none" w:sz="0" w:space="0" w:color="auto"/>
      </w:divBdr>
    </w:div>
    <w:div w:id="1492983229">
      <w:bodyDiv w:val="1"/>
      <w:marLeft w:val="0"/>
      <w:marRight w:val="0"/>
      <w:marTop w:val="0"/>
      <w:marBottom w:val="0"/>
      <w:divBdr>
        <w:top w:val="none" w:sz="0" w:space="0" w:color="auto"/>
        <w:left w:val="none" w:sz="0" w:space="0" w:color="auto"/>
        <w:bottom w:val="none" w:sz="0" w:space="0" w:color="auto"/>
        <w:right w:val="none" w:sz="0" w:space="0" w:color="auto"/>
      </w:divBdr>
    </w:div>
    <w:div w:id="1500265852">
      <w:bodyDiv w:val="1"/>
      <w:marLeft w:val="0"/>
      <w:marRight w:val="0"/>
      <w:marTop w:val="0"/>
      <w:marBottom w:val="0"/>
      <w:divBdr>
        <w:top w:val="none" w:sz="0" w:space="0" w:color="auto"/>
        <w:left w:val="none" w:sz="0" w:space="0" w:color="auto"/>
        <w:bottom w:val="none" w:sz="0" w:space="0" w:color="auto"/>
        <w:right w:val="none" w:sz="0" w:space="0" w:color="auto"/>
      </w:divBdr>
    </w:div>
    <w:div w:id="1504012458">
      <w:bodyDiv w:val="1"/>
      <w:marLeft w:val="0"/>
      <w:marRight w:val="0"/>
      <w:marTop w:val="0"/>
      <w:marBottom w:val="0"/>
      <w:divBdr>
        <w:top w:val="none" w:sz="0" w:space="0" w:color="auto"/>
        <w:left w:val="none" w:sz="0" w:space="0" w:color="auto"/>
        <w:bottom w:val="none" w:sz="0" w:space="0" w:color="auto"/>
        <w:right w:val="none" w:sz="0" w:space="0" w:color="auto"/>
      </w:divBdr>
      <w:divsChild>
        <w:div w:id="1767068992">
          <w:marLeft w:val="1080"/>
          <w:marRight w:val="0"/>
          <w:marTop w:val="100"/>
          <w:marBottom w:val="0"/>
          <w:divBdr>
            <w:top w:val="none" w:sz="0" w:space="0" w:color="auto"/>
            <w:left w:val="none" w:sz="0" w:space="0" w:color="auto"/>
            <w:bottom w:val="none" w:sz="0" w:space="0" w:color="auto"/>
            <w:right w:val="none" w:sz="0" w:space="0" w:color="auto"/>
          </w:divBdr>
        </w:div>
        <w:div w:id="119498304">
          <w:marLeft w:val="1080"/>
          <w:marRight w:val="0"/>
          <w:marTop w:val="100"/>
          <w:marBottom w:val="0"/>
          <w:divBdr>
            <w:top w:val="none" w:sz="0" w:space="0" w:color="auto"/>
            <w:left w:val="none" w:sz="0" w:space="0" w:color="auto"/>
            <w:bottom w:val="none" w:sz="0" w:space="0" w:color="auto"/>
            <w:right w:val="none" w:sz="0" w:space="0" w:color="auto"/>
          </w:divBdr>
        </w:div>
      </w:divsChild>
    </w:div>
    <w:div w:id="1509828127">
      <w:bodyDiv w:val="1"/>
      <w:marLeft w:val="0"/>
      <w:marRight w:val="0"/>
      <w:marTop w:val="0"/>
      <w:marBottom w:val="0"/>
      <w:divBdr>
        <w:top w:val="none" w:sz="0" w:space="0" w:color="auto"/>
        <w:left w:val="none" w:sz="0" w:space="0" w:color="auto"/>
        <w:bottom w:val="none" w:sz="0" w:space="0" w:color="auto"/>
        <w:right w:val="none" w:sz="0" w:space="0" w:color="auto"/>
      </w:divBdr>
    </w:div>
    <w:div w:id="1526820895">
      <w:bodyDiv w:val="1"/>
      <w:marLeft w:val="0"/>
      <w:marRight w:val="0"/>
      <w:marTop w:val="0"/>
      <w:marBottom w:val="0"/>
      <w:divBdr>
        <w:top w:val="none" w:sz="0" w:space="0" w:color="auto"/>
        <w:left w:val="none" w:sz="0" w:space="0" w:color="auto"/>
        <w:bottom w:val="none" w:sz="0" w:space="0" w:color="auto"/>
        <w:right w:val="none" w:sz="0" w:space="0" w:color="auto"/>
      </w:divBdr>
    </w:div>
    <w:div w:id="1541429718">
      <w:bodyDiv w:val="1"/>
      <w:marLeft w:val="0"/>
      <w:marRight w:val="0"/>
      <w:marTop w:val="0"/>
      <w:marBottom w:val="0"/>
      <w:divBdr>
        <w:top w:val="none" w:sz="0" w:space="0" w:color="auto"/>
        <w:left w:val="none" w:sz="0" w:space="0" w:color="auto"/>
        <w:bottom w:val="none" w:sz="0" w:space="0" w:color="auto"/>
        <w:right w:val="none" w:sz="0" w:space="0" w:color="auto"/>
      </w:divBdr>
    </w:div>
    <w:div w:id="1576403345">
      <w:bodyDiv w:val="1"/>
      <w:marLeft w:val="0"/>
      <w:marRight w:val="0"/>
      <w:marTop w:val="0"/>
      <w:marBottom w:val="0"/>
      <w:divBdr>
        <w:top w:val="none" w:sz="0" w:space="0" w:color="auto"/>
        <w:left w:val="none" w:sz="0" w:space="0" w:color="auto"/>
        <w:bottom w:val="none" w:sz="0" w:space="0" w:color="auto"/>
        <w:right w:val="none" w:sz="0" w:space="0" w:color="auto"/>
      </w:divBdr>
      <w:divsChild>
        <w:div w:id="1568371884">
          <w:marLeft w:val="1080"/>
          <w:marRight w:val="0"/>
          <w:marTop w:val="100"/>
          <w:marBottom w:val="0"/>
          <w:divBdr>
            <w:top w:val="none" w:sz="0" w:space="0" w:color="auto"/>
            <w:left w:val="none" w:sz="0" w:space="0" w:color="auto"/>
            <w:bottom w:val="none" w:sz="0" w:space="0" w:color="auto"/>
            <w:right w:val="none" w:sz="0" w:space="0" w:color="auto"/>
          </w:divBdr>
        </w:div>
        <w:div w:id="1848591928">
          <w:marLeft w:val="1080"/>
          <w:marRight w:val="0"/>
          <w:marTop w:val="100"/>
          <w:marBottom w:val="0"/>
          <w:divBdr>
            <w:top w:val="none" w:sz="0" w:space="0" w:color="auto"/>
            <w:left w:val="none" w:sz="0" w:space="0" w:color="auto"/>
            <w:bottom w:val="none" w:sz="0" w:space="0" w:color="auto"/>
            <w:right w:val="none" w:sz="0" w:space="0" w:color="auto"/>
          </w:divBdr>
        </w:div>
        <w:div w:id="256180310">
          <w:marLeft w:val="1080"/>
          <w:marRight w:val="0"/>
          <w:marTop w:val="100"/>
          <w:marBottom w:val="0"/>
          <w:divBdr>
            <w:top w:val="none" w:sz="0" w:space="0" w:color="auto"/>
            <w:left w:val="none" w:sz="0" w:space="0" w:color="auto"/>
            <w:bottom w:val="none" w:sz="0" w:space="0" w:color="auto"/>
            <w:right w:val="none" w:sz="0" w:space="0" w:color="auto"/>
          </w:divBdr>
        </w:div>
        <w:div w:id="47732738">
          <w:marLeft w:val="1080"/>
          <w:marRight w:val="0"/>
          <w:marTop w:val="100"/>
          <w:marBottom w:val="0"/>
          <w:divBdr>
            <w:top w:val="none" w:sz="0" w:space="0" w:color="auto"/>
            <w:left w:val="none" w:sz="0" w:space="0" w:color="auto"/>
            <w:bottom w:val="none" w:sz="0" w:space="0" w:color="auto"/>
            <w:right w:val="none" w:sz="0" w:space="0" w:color="auto"/>
          </w:divBdr>
        </w:div>
      </w:divsChild>
    </w:div>
    <w:div w:id="1580016550">
      <w:bodyDiv w:val="1"/>
      <w:marLeft w:val="0"/>
      <w:marRight w:val="0"/>
      <w:marTop w:val="0"/>
      <w:marBottom w:val="0"/>
      <w:divBdr>
        <w:top w:val="none" w:sz="0" w:space="0" w:color="auto"/>
        <w:left w:val="none" w:sz="0" w:space="0" w:color="auto"/>
        <w:bottom w:val="none" w:sz="0" w:space="0" w:color="auto"/>
        <w:right w:val="none" w:sz="0" w:space="0" w:color="auto"/>
      </w:divBdr>
    </w:div>
    <w:div w:id="1603295273">
      <w:bodyDiv w:val="1"/>
      <w:marLeft w:val="0"/>
      <w:marRight w:val="0"/>
      <w:marTop w:val="0"/>
      <w:marBottom w:val="0"/>
      <w:divBdr>
        <w:top w:val="none" w:sz="0" w:space="0" w:color="auto"/>
        <w:left w:val="none" w:sz="0" w:space="0" w:color="auto"/>
        <w:bottom w:val="none" w:sz="0" w:space="0" w:color="auto"/>
        <w:right w:val="none" w:sz="0" w:space="0" w:color="auto"/>
      </w:divBdr>
    </w:div>
    <w:div w:id="1604805614">
      <w:bodyDiv w:val="1"/>
      <w:marLeft w:val="0"/>
      <w:marRight w:val="0"/>
      <w:marTop w:val="0"/>
      <w:marBottom w:val="0"/>
      <w:divBdr>
        <w:top w:val="none" w:sz="0" w:space="0" w:color="auto"/>
        <w:left w:val="none" w:sz="0" w:space="0" w:color="auto"/>
        <w:bottom w:val="none" w:sz="0" w:space="0" w:color="auto"/>
        <w:right w:val="none" w:sz="0" w:space="0" w:color="auto"/>
      </w:divBdr>
    </w:div>
    <w:div w:id="1607273850">
      <w:bodyDiv w:val="1"/>
      <w:marLeft w:val="0"/>
      <w:marRight w:val="0"/>
      <w:marTop w:val="0"/>
      <w:marBottom w:val="0"/>
      <w:divBdr>
        <w:top w:val="none" w:sz="0" w:space="0" w:color="auto"/>
        <w:left w:val="none" w:sz="0" w:space="0" w:color="auto"/>
        <w:bottom w:val="none" w:sz="0" w:space="0" w:color="auto"/>
        <w:right w:val="none" w:sz="0" w:space="0" w:color="auto"/>
      </w:divBdr>
    </w:div>
    <w:div w:id="1664159674">
      <w:bodyDiv w:val="1"/>
      <w:marLeft w:val="0"/>
      <w:marRight w:val="0"/>
      <w:marTop w:val="0"/>
      <w:marBottom w:val="0"/>
      <w:divBdr>
        <w:top w:val="none" w:sz="0" w:space="0" w:color="auto"/>
        <w:left w:val="none" w:sz="0" w:space="0" w:color="auto"/>
        <w:bottom w:val="none" w:sz="0" w:space="0" w:color="auto"/>
        <w:right w:val="none" w:sz="0" w:space="0" w:color="auto"/>
      </w:divBdr>
    </w:div>
    <w:div w:id="1671248711">
      <w:bodyDiv w:val="1"/>
      <w:marLeft w:val="0"/>
      <w:marRight w:val="0"/>
      <w:marTop w:val="0"/>
      <w:marBottom w:val="0"/>
      <w:divBdr>
        <w:top w:val="none" w:sz="0" w:space="0" w:color="auto"/>
        <w:left w:val="none" w:sz="0" w:space="0" w:color="auto"/>
        <w:bottom w:val="none" w:sz="0" w:space="0" w:color="auto"/>
        <w:right w:val="none" w:sz="0" w:space="0" w:color="auto"/>
      </w:divBdr>
    </w:div>
    <w:div w:id="1678924565">
      <w:bodyDiv w:val="1"/>
      <w:marLeft w:val="0"/>
      <w:marRight w:val="0"/>
      <w:marTop w:val="0"/>
      <w:marBottom w:val="0"/>
      <w:divBdr>
        <w:top w:val="none" w:sz="0" w:space="0" w:color="auto"/>
        <w:left w:val="none" w:sz="0" w:space="0" w:color="auto"/>
        <w:bottom w:val="none" w:sz="0" w:space="0" w:color="auto"/>
        <w:right w:val="none" w:sz="0" w:space="0" w:color="auto"/>
      </w:divBdr>
    </w:div>
    <w:div w:id="1750152560">
      <w:bodyDiv w:val="1"/>
      <w:marLeft w:val="0"/>
      <w:marRight w:val="0"/>
      <w:marTop w:val="0"/>
      <w:marBottom w:val="0"/>
      <w:divBdr>
        <w:top w:val="none" w:sz="0" w:space="0" w:color="auto"/>
        <w:left w:val="none" w:sz="0" w:space="0" w:color="auto"/>
        <w:bottom w:val="none" w:sz="0" w:space="0" w:color="auto"/>
        <w:right w:val="none" w:sz="0" w:space="0" w:color="auto"/>
      </w:divBdr>
    </w:div>
    <w:div w:id="1752896408">
      <w:bodyDiv w:val="1"/>
      <w:marLeft w:val="0"/>
      <w:marRight w:val="0"/>
      <w:marTop w:val="0"/>
      <w:marBottom w:val="0"/>
      <w:divBdr>
        <w:top w:val="none" w:sz="0" w:space="0" w:color="auto"/>
        <w:left w:val="none" w:sz="0" w:space="0" w:color="auto"/>
        <w:bottom w:val="none" w:sz="0" w:space="0" w:color="auto"/>
        <w:right w:val="none" w:sz="0" w:space="0" w:color="auto"/>
      </w:divBdr>
    </w:div>
    <w:div w:id="1756590975">
      <w:bodyDiv w:val="1"/>
      <w:marLeft w:val="0"/>
      <w:marRight w:val="0"/>
      <w:marTop w:val="0"/>
      <w:marBottom w:val="0"/>
      <w:divBdr>
        <w:top w:val="none" w:sz="0" w:space="0" w:color="auto"/>
        <w:left w:val="none" w:sz="0" w:space="0" w:color="auto"/>
        <w:bottom w:val="none" w:sz="0" w:space="0" w:color="auto"/>
        <w:right w:val="none" w:sz="0" w:space="0" w:color="auto"/>
      </w:divBdr>
    </w:div>
    <w:div w:id="1767336323">
      <w:bodyDiv w:val="1"/>
      <w:marLeft w:val="0"/>
      <w:marRight w:val="0"/>
      <w:marTop w:val="0"/>
      <w:marBottom w:val="0"/>
      <w:divBdr>
        <w:top w:val="none" w:sz="0" w:space="0" w:color="auto"/>
        <w:left w:val="none" w:sz="0" w:space="0" w:color="auto"/>
        <w:bottom w:val="none" w:sz="0" w:space="0" w:color="auto"/>
        <w:right w:val="none" w:sz="0" w:space="0" w:color="auto"/>
      </w:divBdr>
    </w:div>
    <w:div w:id="1773620868">
      <w:bodyDiv w:val="1"/>
      <w:marLeft w:val="0"/>
      <w:marRight w:val="0"/>
      <w:marTop w:val="0"/>
      <w:marBottom w:val="0"/>
      <w:divBdr>
        <w:top w:val="none" w:sz="0" w:space="0" w:color="auto"/>
        <w:left w:val="none" w:sz="0" w:space="0" w:color="auto"/>
        <w:bottom w:val="none" w:sz="0" w:space="0" w:color="auto"/>
        <w:right w:val="none" w:sz="0" w:space="0" w:color="auto"/>
      </w:divBdr>
    </w:div>
    <w:div w:id="1792699162">
      <w:bodyDiv w:val="1"/>
      <w:marLeft w:val="0"/>
      <w:marRight w:val="0"/>
      <w:marTop w:val="0"/>
      <w:marBottom w:val="0"/>
      <w:divBdr>
        <w:top w:val="none" w:sz="0" w:space="0" w:color="auto"/>
        <w:left w:val="none" w:sz="0" w:space="0" w:color="auto"/>
        <w:bottom w:val="none" w:sz="0" w:space="0" w:color="auto"/>
        <w:right w:val="none" w:sz="0" w:space="0" w:color="auto"/>
      </w:divBdr>
    </w:div>
    <w:div w:id="1795438685">
      <w:bodyDiv w:val="1"/>
      <w:marLeft w:val="0"/>
      <w:marRight w:val="0"/>
      <w:marTop w:val="0"/>
      <w:marBottom w:val="0"/>
      <w:divBdr>
        <w:top w:val="none" w:sz="0" w:space="0" w:color="auto"/>
        <w:left w:val="none" w:sz="0" w:space="0" w:color="auto"/>
        <w:bottom w:val="none" w:sz="0" w:space="0" w:color="auto"/>
        <w:right w:val="none" w:sz="0" w:space="0" w:color="auto"/>
      </w:divBdr>
    </w:div>
    <w:div w:id="1834178931">
      <w:bodyDiv w:val="1"/>
      <w:marLeft w:val="0"/>
      <w:marRight w:val="0"/>
      <w:marTop w:val="0"/>
      <w:marBottom w:val="0"/>
      <w:divBdr>
        <w:top w:val="none" w:sz="0" w:space="0" w:color="auto"/>
        <w:left w:val="none" w:sz="0" w:space="0" w:color="auto"/>
        <w:bottom w:val="none" w:sz="0" w:space="0" w:color="auto"/>
        <w:right w:val="none" w:sz="0" w:space="0" w:color="auto"/>
      </w:divBdr>
    </w:div>
    <w:div w:id="1837918054">
      <w:bodyDiv w:val="1"/>
      <w:marLeft w:val="0"/>
      <w:marRight w:val="0"/>
      <w:marTop w:val="0"/>
      <w:marBottom w:val="0"/>
      <w:divBdr>
        <w:top w:val="none" w:sz="0" w:space="0" w:color="auto"/>
        <w:left w:val="none" w:sz="0" w:space="0" w:color="auto"/>
        <w:bottom w:val="none" w:sz="0" w:space="0" w:color="auto"/>
        <w:right w:val="none" w:sz="0" w:space="0" w:color="auto"/>
      </w:divBdr>
    </w:div>
    <w:div w:id="1839072114">
      <w:bodyDiv w:val="1"/>
      <w:marLeft w:val="0"/>
      <w:marRight w:val="0"/>
      <w:marTop w:val="0"/>
      <w:marBottom w:val="0"/>
      <w:divBdr>
        <w:top w:val="none" w:sz="0" w:space="0" w:color="auto"/>
        <w:left w:val="none" w:sz="0" w:space="0" w:color="auto"/>
        <w:bottom w:val="none" w:sz="0" w:space="0" w:color="auto"/>
        <w:right w:val="none" w:sz="0" w:space="0" w:color="auto"/>
      </w:divBdr>
    </w:div>
    <w:div w:id="1841574964">
      <w:bodyDiv w:val="1"/>
      <w:marLeft w:val="0"/>
      <w:marRight w:val="0"/>
      <w:marTop w:val="0"/>
      <w:marBottom w:val="0"/>
      <w:divBdr>
        <w:top w:val="none" w:sz="0" w:space="0" w:color="auto"/>
        <w:left w:val="none" w:sz="0" w:space="0" w:color="auto"/>
        <w:bottom w:val="none" w:sz="0" w:space="0" w:color="auto"/>
        <w:right w:val="none" w:sz="0" w:space="0" w:color="auto"/>
      </w:divBdr>
    </w:div>
    <w:div w:id="1877766127">
      <w:bodyDiv w:val="1"/>
      <w:marLeft w:val="0"/>
      <w:marRight w:val="0"/>
      <w:marTop w:val="0"/>
      <w:marBottom w:val="0"/>
      <w:divBdr>
        <w:top w:val="none" w:sz="0" w:space="0" w:color="auto"/>
        <w:left w:val="none" w:sz="0" w:space="0" w:color="auto"/>
        <w:bottom w:val="none" w:sz="0" w:space="0" w:color="auto"/>
        <w:right w:val="none" w:sz="0" w:space="0" w:color="auto"/>
      </w:divBdr>
    </w:div>
    <w:div w:id="1961376934">
      <w:bodyDiv w:val="1"/>
      <w:marLeft w:val="0"/>
      <w:marRight w:val="0"/>
      <w:marTop w:val="0"/>
      <w:marBottom w:val="0"/>
      <w:divBdr>
        <w:top w:val="none" w:sz="0" w:space="0" w:color="auto"/>
        <w:left w:val="none" w:sz="0" w:space="0" w:color="auto"/>
        <w:bottom w:val="none" w:sz="0" w:space="0" w:color="auto"/>
        <w:right w:val="none" w:sz="0" w:space="0" w:color="auto"/>
      </w:divBdr>
      <w:divsChild>
        <w:div w:id="1897163720">
          <w:marLeft w:val="1080"/>
          <w:marRight w:val="0"/>
          <w:marTop w:val="100"/>
          <w:marBottom w:val="0"/>
          <w:divBdr>
            <w:top w:val="none" w:sz="0" w:space="0" w:color="auto"/>
            <w:left w:val="none" w:sz="0" w:space="0" w:color="auto"/>
            <w:bottom w:val="none" w:sz="0" w:space="0" w:color="auto"/>
            <w:right w:val="none" w:sz="0" w:space="0" w:color="auto"/>
          </w:divBdr>
        </w:div>
      </w:divsChild>
    </w:div>
    <w:div w:id="1990935209">
      <w:bodyDiv w:val="1"/>
      <w:marLeft w:val="0"/>
      <w:marRight w:val="0"/>
      <w:marTop w:val="0"/>
      <w:marBottom w:val="0"/>
      <w:divBdr>
        <w:top w:val="none" w:sz="0" w:space="0" w:color="auto"/>
        <w:left w:val="none" w:sz="0" w:space="0" w:color="auto"/>
        <w:bottom w:val="none" w:sz="0" w:space="0" w:color="auto"/>
        <w:right w:val="none" w:sz="0" w:space="0" w:color="auto"/>
      </w:divBdr>
    </w:div>
    <w:div w:id="2004694932">
      <w:bodyDiv w:val="1"/>
      <w:marLeft w:val="0"/>
      <w:marRight w:val="0"/>
      <w:marTop w:val="0"/>
      <w:marBottom w:val="0"/>
      <w:divBdr>
        <w:top w:val="none" w:sz="0" w:space="0" w:color="auto"/>
        <w:left w:val="none" w:sz="0" w:space="0" w:color="auto"/>
        <w:bottom w:val="none" w:sz="0" w:space="0" w:color="auto"/>
        <w:right w:val="none" w:sz="0" w:space="0" w:color="auto"/>
      </w:divBdr>
    </w:div>
    <w:div w:id="2051951049">
      <w:bodyDiv w:val="1"/>
      <w:marLeft w:val="0"/>
      <w:marRight w:val="0"/>
      <w:marTop w:val="0"/>
      <w:marBottom w:val="0"/>
      <w:divBdr>
        <w:top w:val="none" w:sz="0" w:space="0" w:color="auto"/>
        <w:left w:val="none" w:sz="0" w:space="0" w:color="auto"/>
        <w:bottom w:val="none" w:sz="0" w:space="0" w:color="auto"/>
        <w:right w:val="none" w:sz="0" w:space="0" w:color="auto"/>
      </w:divBdr>
    </w:div>
    <w:div w:id="2093627338">
      <w:bodyDiv w:val="1"/>
      <w:marLeft w:val="0"/>
      <w:marRight w:val="0"/>
      <w:marTop w:val="0"/>
      <w:marBottom w:val="0"/>
      <w:divBdr>
        <w:top w:val="none" w:sz="0" w:space="0" w:color="auto"/>
        <w:left w:val="none" w:sz="0" w:space="0" w:color="auto"/>
        <w:bottom w:val="none" w:sz="0" w:space="0" w:color="auto"/>
        <w:right w:val="none" w:sz="0" w:space="0" w:color="auto"/>
      </w:divBdr>
    </w:div>
    <w:div w:id="2096856317">
      <w:bodyDiv w:val="1"/>
      <w:marLeft w:val="0"/>
      <w:marRight w:val="0"/>
      <w:marTop w:val="0"/>
      <w:marBottom w:val="0"/>
      <w:divBdr>
        <w:top w:val="none" w:sz="0" w:space="0" w:color="auto"/>
        <w:left w:val="none" w:sz="0" w:space="0" w:color="auto"/>
        <w:bottom w:val="none" w:sz="0" w:space="0" w:color="auto"/>
        <w:right w:val="none" w:sz="0" w:space="0" w:color="auto"/>
      </w:divBdr>
    </w:div>
    <w:div w:id="2118871071">
      <w:bodyDiv w:val="1"/>
      <w:marLeft w:val="0"/>
      <w:marRight w:val="0"/>
      <w:marTop w:val="0"/>
      <w:marBottom w:val="0"/>
      <w:divBdr>
        <w:top w:val="none" w:sz="0" w:space="0" w:color="auto"/>
        <w:left w:val="none" w:sz="0" w:space="0" w:color="auto"/>
        <w:bottom w:val="none" w:sz="0" w:space="0" w:color="auto"/>
        <w:right w:val="none" w:sz="0" w:space="0" w:color="auto"/>
      </w:divBdr>
    </w:div>
    <w:div w:id="2128693981">
      <w:bodyDiv w:val="1"/>
      <w:marLeft w:val="0"/>
      <w:marRight w:val="0"/>
      <w:marTop w:val="0"/>
      <w:marBottom w:val="0"/>
      <w:divBdr>
        <w:top w:val="none" w:sz="0" w:space="0" w:color="auto"/>
        <w:left w:val="none" w:sz="0" w:space="0" w:color="auto"/>
        <w:bottom w:val="none" w:sz="0" w:space="0" w:color="auto"/>
        <w:right w:val="none" w:sz="0" w:space="0" w:color="auto"/>
      </w:divBdr>
    </w:div>
    <w:div w:id="2134859701">
      <w:bodyDiv w:val="1"/>
      <w:marLeft w:val="0"/>
      <w:marRight w:val="0"/>
      <w:marTop w:val="0"/>
      <w:marBottom w:val="0"/>
      <w:divBdr>
        <w:top w:val="none" w:sz="0" w:space="0" w:color="auto"/>
        <w:left w:val="none" w:sz="0" w:space="0" w:color="auto"/>
        <w:bottom w:val="none" w:sz="0" w:space="0" w:color="auto"/>
        <w:right w:val="none" w:sz="0" w:space="0" w:color="auto"/>
      </w:divBdr>
    </w:div>
    <w:div w:id="21428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xshare.do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pexshare.doe.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E944A9-E354-4451-B8C2-78F4FE4C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6450</Words>
  <Characters>36770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McDonald, John A</cp:lastModifiedBy>
  <cp:revision>2</cp:revision>
  <cp:lastPrinted>2020-02-06T00:24:00Z</cp:lastPrinted>
  <dcterms:created xsi:type="dcterms:W3CDTF">2019-09-25T23:15:00Z</dcterms:created>
  <dcterms:modified xsi:type="dcterms:W3CDTF">2019-09-25T23:15:00Z</dcterms:modified>
</cp:coreProperties>
</file>