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39DB7" w14:textId="77777777" w:rsidR="001E7076" w:rsidRDefault="0025400A" w:rsidP="0025400A">
      <w:pPr>
        <w:jc w:val="center"/>
      </w:pPr>
      <w:r>
        <w:t>EFCOG Monthly Meeting</w:t>
      </w:r>
    </w:p>
    <w:p w14:paraId="44C64AF9" w14:textId="5E7F1332" w:rsidR="0025400A" w:rsidRDefault="00A67843" w:rsidP="0025400A">
      <w:pPr>
        <w:jc w:val="center"/>
      </w:pPr>
      <w:r>
        <w:t>February 19</w:t>
      </w:r>
      <w:r w:rsidR="0025400A">
        <w:t>, 20</w:t>
      </w:r>
      <w:r>
        <w:t>20</w:t>
      </w:r>
    </w:p>
    <w:p w14:paraId="063715F7" w14:textId="77777777" w:rsidR="0025400A" w:rsidRDefault="0025400A" w:rsidP="0025400A"/>
    <w:p w14:paraId="6A84DD64" w14:textId="77777777" w:rsidR="00845FB6" w:rsidRDefault="00845FB6" w:rsidP="00845FB6">
      <w:r>
        <w:rPr>
          <w:b/>
          <w:bCs/>
          <w:u w:val="single"/>
        </w:rPr>
        <w:t>Spring agenda:</w:t>
      </w:r>
      <w:r>
        <w:t xml:space="preserve"> </w:t>
      </w:r>
    </w:p>
    <w:p w14:paraId="062E289D" w14:textId="77777777" w:rsidR="00845FB6" w:rsidRDefault="00845FB6" w:rsidP="00845FB6">
      <w:pPr>
        <w:pStyle w:val="ListParagraph"/>
        <w:numPr>
          <w:ilvl w:val="0"/>
          <w:numId w:val="5"/>
        </w:numPr>
        <w:spacing w:after="0" w:line="240" w:lineRule="auto"/>
        <w:contextualSpacing w:val="0"/>
        <w:rPr>
          <w:rFonts w:eastAsia="Times New Roman"/>
        </w:rPr>
      </w:pPr>
      <w:r>
        <w:rPr>
          <w:rFonts w:eastAsia="Times New Roman"/>
        </w:rPr>
        <w:t xml:space="preserve">Discussion was raised regarding the 414.1X breakout discussions to be help Wednesday morning.  Christian felt </w:t>
      </w:r>
      <w:r>
        <w:rPr>
          <w:rFonts w:eastAsia="Times New Roman"/>
          <w:b/>
          <w:bCs/>
          <w:i/>
          <w:iCs/>
        </w:rPr>
        <w:t>removing</w:t>
      </w:r>
      <w:r>
        <w:rPr>
          <w:rFonts w:eastAsia="Times New Roman"/>
        </w:rPr>
        <w:t xml:space="preserve"> the term “nuclear” was a stronger than he had intended.  Instead, he would like to bring nuclear-safety software into right-sized relation to other software of importance.  All software should follow the 10 QA Criteria with nuclear (or safety in general) software needing to do just a little bit more.  He would like us to wrestle with how to better define and level all that.  </w:t>
      </w:r>
    </w:p>
    <w:p w14:paraId="33D8B600" w14:textId="77777777" w:rsidR="00845FB6" w:rsidRDefault="00845FB6" w:rsidP="00845FB6">
      <w:pPr>
        <w:pStyle w:val="ListParagraph"/>
        <w:numPr>
          <w:ilvl w:val="0"/>
          <w:numId w:val="5"/>
        </w:numPr>
        <w:spacing w:after="0" w:line="240" w:lineRule="auto"/>
        <w:contextualSpacing w:val="0"/>
        <w:rPr>
          <w:rFonts w:eastAsia="Times New Roman"/>
        </w:rPr>
      </w:pPr>
      <w:r>
        <w:rPr>
          <w:rFonts w:eastAsia="Times New Roman"/>
        </w:rPr>
        <w:t>It was suggested that each of the breakout session leaders put together a quick/short synopsis of their topic.  We would send these out prior to the Face-to-face and spend a few minutes before breaking into groups on the 1</w:t>
      </w:r>
      <w:r>
        <w:rPr>
          <w:rFonts w:eastAsia="Times New Roman"/>
          <w:vertAlign w:val="superscript"/>
        </w:rPr>
        <w:t>st</w:t>
      </w:r>
      <w:r>
        <w:rPr>
          <w:rFonts w:eastAsia="Times New Roman"/>
        </w:rPr>
        <w:t>.  This will allow members to better pick the topic in which they would like to participate.</w:t>
      </w:r>
    </w:p>
    <w:p w14:paraId="1BCAE2DD" w14:textId="77777777" w:rsidR="00845FB6" w:rsidRDefault="00845FB6" w:rsidP="00845FB6"/>
    <w:p w14:paraId="516DE8FD" w14:textId="77777777" w:rsidR="00845FB6" w:rsidRDefault="00845FB6" w:rsidP="00845FB6">
      <w:r>
        <w:rPr>
          <w:b/>
          <w:bCs/>
          <w:u w:val="single"/>
        </w:rPr>
        <w:t>1</w:t>
      </w:r>
      <w:r>
        <w:rPr>
          <w:b/>
          <w:bCs/>
          <w:u w:val="single"/>
          <w:vertAlign w:val="superscript"/>
        </w:rPr>
        <w:t>st</w:t>
      </w:r>
      <w:r>
        <w:rPr>
          <w:b/>
          <w:bCs/>
          <w:u w:val="single"/>
        </w:rPr>
        <w:t xml:space="preserve"> Toolbox Qualification Assessment:</w:t>
      </w:r>
    </w:p>
    <w:p w14:paraId="00900E4D" w14:textId="77777777" w:rsidR="00845FB6" w:rsidRDefault="00845FB6" w:rsidP="00845FB6">
      <w:pPr>
        <w:pStyle w:val="ListParagraph"/>
        <w:numPr>
          <w:ilvl w:val="0"/>
          <w:numId w:val="6"/>
        </w:numPr>
        <w:spacing w:after="0" w:line="240" w:lineRule="auto"/>
        <w:contextualSpacing w:val="0"/>
        <w:rPr>
          <w:rFonts w:eastAsia="Times New Roman"/>
        </w:rPr>
      </w:pPr>
      <w:r>
        <w:rPr>
          <w:rFonts w:eastAsia="Times New Roman"/>
        </w:rPr>
        <w:t xml:space="preserve">The </w:t>
      </w:r>
      <w:proofErr w:type="spellStart"/>
      <w:r>
        <w:rPr>
          <w:rFonts w:eastAsia="Times New Roman"/>
        </w:rPr>
        <w:t>ResRad</w:t>
      </w:r>
      <w:proofErr w:type="spellEnd"/>
      <w:r>
        <w:rPr>
          <w:rFonts w:eastAsia="Times New Roman"/>
        </w:rPr>
        <w:t xml:space="preserve"> assessment will now take place in late summer.</w:t>
      </w:r>
    </w:p>
    <w:p w14:paraId="31815207" w14:textId="77777777" w:rsidR="00845FB6" w:rsidRDefault="00845FB6" w:rsidP="00845FB6">
      <w:pPr>
        <w:pStyle w:val="ListParagraph"/>
        <w:numPr>
          <w:ilvl w:val="0"/>
          <w:numId w:val="6"/>
        </w:numPr>
        <w:spacing w:after="0" w:line="240" w:lineRule="auto"/>
        <w:contextualSpacing w:val="0"/>
        <w:rPr>
          <w:rFonts w:eastAsia="Times New Roman"/>
        </w:rPr>
      </w:pPr>
      <w:proofErr w:type="spellStart"/>
      <w:r>
        <w:rPr>
          <w:rFonts w:eastAsia="Times New Roman"/>
        </w:rPr>
        <w:t>ResRad</w:t>
      </w:r>
      <w:proofErr w:type="spellEnd"/>
      <w:r>
        <w:rPr>
          <w:rFonts w:eastAsia="Times New Roman"/>
        </w:rPr>
        <w:t xml:space="preserve"> is an application that can model habitability of an area once filled with a nuclear/radiological facility.  For instance, once the old, contaminated building has been removed, is it safe/advisable to rebuild in that location or even modify the old building.</w:t>
      </w:r>
    </w:p>
    <w:p w14:paraId="493496E8" w14:textId="77777777" w:rsidR="00845FB6" w:rsidRDefault="00845FB6" w:rsidP="00845FB6">
      <w:pPr>
        <w:pStyle w:val="ListParagraph"/>
        <w:numPr>
          <w:ilvl w:val="0"/>
          <w:numId w:val="6"/>
        </w:numPr>
        <w:spacing w:after="0" w:line="240" w:lineRule="auto"/>
        <w:contextualSpacing w:val="0"/>
        <w:rPr>
          <w:rFonts w:eastAsia="Times New Roman"/>
        </w:rPr>
      </w:pPr>
      <w:r>
        <w:rPr>
          <w:rFonts w:eastAsia="Times New Roman"/>
        </w:rPr>
        <w:t>The team will be comprised of various subject matter experts, including volunteers from the EFCOG SQA group</w:t>
      </w:r>
    </w:p>
    <w:p w14:paraId="018E28C0" w14:textId="77777777" w:rsidR="00845FB6" w:rsidRDefault="00845FB6" w:rsidP="00845FB6">
      <w:pPr>
        <w:pStyle w:val="ListParagraph"/>
        <w:numPr>
          <w:ilvl w:val="0"/>
          <w:numId w:val="6"/>
        </w:numPr>
        <w:spacing w:after="0" w:line="240" w:lineRule="auto"/>
        <w:contextualSpacing w:val="0"/>
        <w:rPr>
          <w:rFonts w:eastAsia="Times New Roman"/>
        </w:rPr>
      </w:pPr>
      <w:r>
        <w:rPr>
          <w:rFonts w:eastAsia="Times New Roman"/>
        </w:rPr>
        <w:t>Justification for your site to pay for your time and travel while participating in one of these assessments:  You can better coach teams within your own organization on what is needed/expected for a Toolbox qualification.  It also allows us to better standardize how we do assessments within our own organizations</w:t>
      </w:r>
    </w:p>
    <w:p w14:paraId="45BDFD1B" w14:textId="77777777" w:rsidR="00845FB6" w:rsidRDefault="00845FB6" w:rsidP="00845FB6"/>
    <w:p w14:paraId="24A3C6DC" w14:textId="77777777" w:rsidR="00845FB6" w:rsidRDefault="00845FB6" w:rsidP="00845FB6">
      <w:r>
        <w:rPr>
          <w:b/>
          <w:bCs/>
          <w:u w:val="single"/>
        </w:rPr>
        <w:t>Task Group Updates:</w:t>
      </w:r>
    </w:p>
    <w:p w14:paraId="3A10A0E4" w14:textId="77777777" w:rsidR="00845FB6" w:rsidRDefault="00845FB6" w:rsidP="00845FB6">
      <w:pPr>
        <w:rPr>
          <w:i/>
          <w:iCs/>
        </w:rPr>
      </w:pPr>
      <w:r>
        <w:rPr>
          <w:i/>
          <w:iCs/>
        </w:rPr>
        <w:t>Inadvertently, there were two WebEx meeting announcements sent out this month.  Therefore, many of our members called into the other meeting.  Apologies to all who were affected by this.  We will work to make sure this is rectified before the next WebEx.</w:t>
      </w:r>
    </w:p>
    <w:p w14:paraId="2AF922CC" w14:textId="77777777" w:rsidR="00845FB6" w:rsidRDefault="00845FB6" w:rsidP="00845FB6">
      <w:pPr>
        <w:pStyle w:val="ListParagraph"/>
        <w:numPr>
          <w:ilvl w:val="0"/>
          <w:numId w:val="7"/>
        </w:numPr>
        <w:spacing w:after="0" w:line="240" w:lineRule="auto"/>
        <w:contextualSpacing w:val="0"/>
        <w:rPr>
          <w:rFonts w:eastAsia="Times New Roman"/>
        </w:rPr>
      </w:pPr>
      <w:r>
        <w:rPr>
          <w:rFonts w:eastAsia="Times New Roman"/>
        </w:rPr>
        <w:t>Toolbox Qualification Recommendations – the group is adding purpose, scope, introductory information to each recommendation, and a conclusion to the recommendations.  A draft is expected to be sent out for EFCOG review just before the Spring meeting.</w:t>
      </w:r>
    </w:p>
    <w:p w14:paraId="32B8A907" w14:textId="77777777" w:rsidR="00845FB6" w:rsidRDefault="00845FB6" w:rsidP="00845FB6">
      <w:pPr>
        <w:pStyle w:val="ListParagraph"/>
        <w:numPr>
          <w:ilvl w:val="0"/>
          <w:numId w:val="7"/>
        </w:numPr>
        <w:spacing w:after="0" w:line="240" w:lineRule="auto"/>
        <w:contextualSpacing w:val="0"/>
        <w:rPr>
          <w:rFonts w:eastAsia="Times New Roman"/>
        </w:rPr>
      </w:pPr>
      <w:r>
        <w:rPr>
          <w:rFonts w:eastAsia="Times New Roman"/>
        </w:rPr>
        <w:t>No report on SW Checklists</w:t>
      </w:r>
    </w:p>
    <w:p w14:paraId="71393EDE" w14:textId="77777777" w:rsidR="00845FB6" w:rsidRDefault="00845FB6" w:rsidP="00845FB6">
      <w:pPr>
        <w:pStyle w:val="ListParagraph"/>
        <w:numPr>
          <w:ilvl w:val="0"/>
          <w:numId w:val="7"/>
        </w:numPr>
        <w:spacing w:after="0" w:line="240" w:lineRule="auto"/>
        <w:contextualSpacing w:val="0"/>
        <w:rPr>
          <w:rFonts w:eastAsia="Times New Roman"/>
        </w:rPr>
      </w:pPr>
      <w:r>
        <w:rPr>
          <w:rFonts w:eastAsia="Times New Roman"/>
        </w:rPr>
        <w:t xml:space="preserve">EFCOG Zip File – The zip file has been vetted by the group and files of interest (e.g., Software related) have been added to the EFCOG SQA web page under Software Documents </w:t>
      </w:r>
      <w:r>
        <w:rPr>
          <w:rFonts w:ascii="Wingdings" w:eastAsia="Times New Roman" w:hAnsi="Wingdings"/>
        </w:rPr>
        <w:t>à</w:t>
      </w:r>
      <w:r>
        <w:rPr>
          <w:rFonts w:eastAsia="Times New Roman"/>
        </w:rPr>
        <w:t xml:space="preserve"> Archive Pre-2015.  There are files related to NQA-1, white papers and guidelines, and a history of the SQAS group (the predecessor of the EFCOG SQA group)</w:t>
      </w:r>
    </w:p>
    <w:p w14:paraId="3C2DB5DF" w14:textId="77777777" w:rsidR="00845FB6" w:rsidRDefault="00845FB6" w:rsidP="00845FB6">
      <w:pPr>
        <w:pStyle w:val="ListParagraph"/>
        <w:numPr>
          <w:ilvl w:val="0"/>
          <w:numId w:val="7"/>
        </w:numPr>
        <w:spacing w:after="0" w:line="240" w:lineRule="auto"/>
        <w:contextualSpacing w:val="0"/>
        <w:rPr>
          <w:rFonts w:eastAsia="Times New Roman"/>
        </w:rPr>
      </w:pPr>
      <w:r>
        <w:rPr>
          <w:rFonts w:eastAsia="Times New Roman"/>
        </w:rPr>
        <w:t>No report on the SQA Strategic Planning</w:t>
      </w:r>
    </w:p>
    <w:p w14:paraId="40A70327" w14:textId="77777777" w:rsidR="00845FB6" w:rsidRDefault="00845FB6" w:rsidP="00845FB6">
      <w:pPr>
        <w:pStyle w:val="ListParagraph"/>
        <w:numPr>
          <w:ilvl w:val="0"/>
          <w:numId w:val="7"/>
        </w:numPr>
        <w:spacing w:after="0" w:line="240" w:lineRule="auto"/>
        <w:contextualSpacing w:val="0"/>
        <w:rPr>
          <w:rFonts w:eastAsia="Times New Roman"/>
        </w:rPr>
      </w:pPr>
      <w:r>
        <w:rPr>
          <w:rFonts w:eastAsia="Times New Roman"/>
        </w:rPr>
        <w:lastRenderedPageBreak/>
        <w:t>SCRUM to Work Activity Mapping – The NQA-1 software subcommittee is also creating a similar mapping.  Kary Cook is heading up the NQA-1 effort.  Stella will work with Kary to determine which group would be best to tackle this issue.  Most likely, we will let the NQA-1 group do this and close out our subtask.</w:t>
      </w:r>
    </w:p>
    <w:p w14:paraId="6230D285" w14:textId="77777777" w:rsidR="00845FB6" w:rsidRDefault="00845FB6" w:rsidP="00845FB6">
      <w:pPr>
        <w:pStyle w:val="ListParagraph"/>
        <w:numPr>
          <w:ilvl w:val="0"/>
          <w:numId w:val="7"/>
        </w:numPr>
        <w:spacing w:after="0" w:line="240" w:lineRule="auto"/>
        <w:contextualSpacing w:val="0"/>
        <w:rPr>
          <w:rFonts w:eastAsia="Times New Roman"/>
        </w:rPr>
      </w:pPr>
      <w:r>
        <w:rPr>
          <w:rFonts w:eastAsia="Times New Roman"/>
        </w:rPr>
        <w:t>Cloud-based Hosting – Russell has put together an outline on what the guide will cover.  He is hoping to have a first rough draft by the Spring meeting.</w:t>
      </w:r>
    </w:p>
    <w:p w14:paraId="060932FA" w14:textId="77777777" w:rsidR="00845FB6" w:rsidRDefault="00845FB6" w:rsidP="00845FB6">
      <w:pPr>
        <w:pStyle w:val="ListParagraph"/>
        <w:numPr>
          <w:ilvl w:val="0"/>
          <w:numId w:val="7"/>
        </w:numPr>
        <w:spacing w:after="0" w:line="240" w:lineRule="auto"/>
        <w:contextualSpacing w:val="0"/>
        <w:rPr>
          <w:rFonts w:eastAsia="Times New Roman"/>
        </w:rPr>
      </w:pPr>
      <w:r>
        <w:rPr>
          <w:rFonts w:eastAsia="Times New Roman"/>
        </w:rPr>
        <w:t xml:space="preserve">Configurable Devices – The group has been defining the scope of their task – what to include and what to cover.  </w:t>
      </w:r>
      <w:proofErr w:type="gramStart"/>
      <w:r>
        <w:rPr>
          <w:rFonts w:eastAsia="Times New Roman"/>
        </w:rPr>
        <w:t>Next</w:t>
      </w:r>
      <w:proofErr w:type="gramEnd"/>
      <w:r>
        <w:rPr>
          <w:rFonts w:eastAsia="Times New Roman"/>
        </w:rPr>
        <w:t xml:space="preserve"> they will begin working on the guidance.  It was suggested they review the white paper on Firmware the SQA group published last year, so this discussed some aspects of configurable devices as part of that paper.</w:t>
      </w:r>
    </w:p>
    <w:p w14:paraId="29F5618F" w14:textId="77777777" w:rsidR="00845FB6" w:rsidRDefault="00845FB6" w:rsidP="00845FB6">
      <w:pPr>
        <w:pStyle w:val="ListParagraph"/>
        <w:numPr>
          <w:ilvl w:val="0"/>
          <w:numId w:val="7"/>
        </w:numPr>
        <w:spacing w:after="0" w:line="240" w:lineRule="auto"/>
        <w:contextualSpacing w:val="0"/>
        <w:rPr>
          <w:rFonts w:eastAsia="Times New Roman"/>
        </w:rPr>
      </w:pPr>
      <w:r>
        <w:rPr>
          <w:rFonts w:eastAsia="Times New Roman"/>
        </w:rPr>
        <w:t>SW-Effecting Orders Matrix – A draft matrix has been created.  The group will review and refine this for the Spring meeting.</w:t>
      </w:r>
    </w:p>
    <w:p w14:paraId="45AC8264" w14:textId="77777777" w:rsidR="00845FB6" w:rsidRDefault="00845FB6" w:rsidP="00845FB6"/>
    <w:p w14:paraId="06130F32" w14:textId="77777777" w:rsidR="00845FB6" w:rsidRDefault="00845FB6" w:rsidP="00845FB6">
      <w:r>
        <w:rPr>
          <w:b/>
          <w:bCs/>
          <w:u w:val="single"/>
        </w:rPr>
        <w:t>Definition of Software:</w:t>
      </w:r>
    </w:p>
    <w:p w14:paraId="243AB4FA" w14:textId="77777777" w:rsidR="00845FB6" w:rsidRDefault="00845FB6" w:rsidP="00845FB6">
      <w:pPr>
        <w:pStyle w:val="ListParagraph"/>
        <w:numPr>
          <w:ilvl w:val="0"/>
          <w:numId w:val="8"/>
        </w:numPr>
        <w:spacing w:after="0" w:line="240" w:lineRule="auto"/>
        <w:contextualSpacing w:val="0"/>
        <w:rPr>
          <w:rFonts w:eastAsia="Times New Roman"/>
        </w:rPr>
      </w:pPr>
      <w:r>
        <w:rPr>
          <w:rFonts w:eastAsia="Times New Roman"/>
        </w:rPr>
        <w:t xml:space="preserve">The group’s preliminary definition and thoughts on scope were presented to the group.  </w:t>
      </w:r>
    </w:p>
    <w:p w14:paraId="7B3D9D0E" w14:textId="77777777" w:rsidR="00845FB6" w:rsidRDefault="00845FB6" w:rsidP="00845FB6">
      <w:pPr>
        <w:pStyle w:val="ListParagraph"/>
        <w:numPr>
          <w:ilvl w:val="0"/>
          <w:numId w:val="8"/>
        </w:numPr>
        <w:spacing w:after="0" w:line="240" w:lineRule="auto"/>
        <w:contextualSpacing w:val="0"/>
        <w:rPr>
          <w:rFonts w:eastAsia="Times New Roman"/>
        </w:rPr>
      </w:pPr>
      <w:r>
        <w:rPr>
          <w:rFonts w:eastAsia="Times New Roman"/>
        </w:rPr>
        <w:t>Christian discussed the idea of broadening the wording of the 10 QA Criteria to better encompass software so that software isn’t an add on or separate attachment.  For instance, Criteria 7 talks about Procurement and has three sub-bullets – could we add a fourth bullet to cover software at a high level.  This might become another breakout group or discussion topic at a future meeting.</w:t>
      </w:r>
    </w:p>
    <w:p w14:paraId="05BF11CF" w14:textId="77777777" w:rsidR="00845FB6" w:rsidRDefault="00845FB6" w:rsidP="00845FB6">
      <w:pPr>
        <w:pStyle w:val="ListParagraph"/>
        <w:numPr>
          <w:ilvl w:val="0"/>
          <w:numId w:val="8"/>
        </w:numPr>
        <w:spacing w:after="0" w:line="240" w:lineRule="auto"/>
        <w:contextualSpacing w:val="0"/>
        <w:rPr>
          <w:rFonts w:eastAsia="Times New Roman"/>
        </w:rPr>
      </w:pPr>
      <w:r>
        <w:rPr>
          <w:rFonts w:eastAsia="Times New Roman"/>
        </w:rPr>
        <w:t xml:space="preserve">Concern was raised that the information presented was more than a definition of software.  </w:t>
      </w:r>
    </w:p>
    <w:p w14:paraId="0E1ADF16" w14:textId="77777777" w:rsidR="00845FB6" w:rsidRDefault="00845FB6" w:rsidP="00845FB6">
      <w:pPr>
        <w:pStyle w:val="ListParagraph"/>
        <w:numPr>
          <w:ilvl w:val="0"/>
          <w:numId w:val="8"/>
        </w:numPr>
        <w:spacing w:after="0" w:line="240" w:lineRule="auto"/>
        <w:contextualSpacing w:val="0"/>
        <w:rPr>
          <w:rFonts w:eastAsia="Times New Roman"/>
        </w:rPr>
      </w:pPr>
      <w:r>
        <w:rPr>
          <w:rFonts w:eastAsia="Times New Roman"/>
        </w:rPr>
        <w:t>How can we modify the scope of the order to include all important software, not just nuclear/radiological, while not getting down in the weeds or having to add in exemptions?</w:t>
      </w:r>
    </w:p>
    <w:p w14:paraId="37ECFAE7" w14:textId="77777777" w:rsidR="00845FB6" w:rsidRDefault="00845FB6" w:rsidP="00845FB6">
      <w:pPr>
        <w:pStyle w:val="ListParagraph"/>
        <w:numPr>
          <w:ilvl w:val="0"/>
          <w:numId w:val="8"/>
        </w:numPr>
        <w:spacing w:after="0" w:line="240" w:lineRule="auto"/>
        <w:contextualSpacing w:val="0"/>
        <w:rPr>
          <w:rFonts w:eastAsia="Times New Roman"/>
        </w:rPr>
      </w:pPr>
      <w:r>
        <w:rPr>
          <w:rFonts w:eastAsia="Times New Roman"/>
        </w:rPr>
        <w:t>Kristy asked that everyone who is coming to the Spring meeting bring the definition of software their site uses so we can find commonalities.  Please email your definitions to Marylou Apodaca (</w:t>
      </w:r>
      <w:hyperlink r:id="rId8" w:history="1">
        <w:r>
          <w:rPr>
            <w:rStyle w:val="Hyperlink"/>
            <w:rFonts w:eastAsia="Times New Roman"/>
          </w:rPr>
          <w:t>marapod@sandia.gov</w:t>
        </w:r>
      </w:hyperlink>
      <w:r>
        <w:rPr>
          <w:rFonts w:eastAsia="Times New Roman"/>
        </w:rPr>
        <w:t>) before the meeting so the task group can discuss.</w:t>
      </w:r>
    </w:p>
    <w:p w14:paraId="43EEB8CE" w14:textId="77777777" w:rsidR="00845FB6" w:rsidRDefault="00845FB6" w:rsidP="0025400A"/>
    <w:p w14:paraId="364A805F" w14:textId="4878234A" w:rsidR="00F81F60" w:rsidRDefault="00F81F60" w:rsidP="0025400A">
      <w:r w:rsidRPr="00845FB6">
        <w:rPr>
          <w:u w:val="single"/>
        </w:rPr>
        <w:t>Attendance</w:t>
      </w:r>
      <w:r>
        <w:t>:</w:t>
      </w:r>
    </w:p>
    <w:p w14:paraId="632B8B8F" w14:textId="61D02124" w:rsidR="00CA4320" w:rsidRDefault="00F81F60" w:rsidP="00A737FF">
      <w:pPr>
        <w:spacing w:after="0"/>
        <w:rPr>
          <w:rFonts w:eastAsia="Times New Roman"/>
        </w:rPr>
      </w:pPr>
      <w:r>
        <w:t>Vicki Pope</w:t>
      </w:r>
      <w:r w:rsidR="00710575">
        <w:t>, LLNL</w:t>
      </w:r>
      <w:r w:rsidR="00710575">
        <w:tab/>
      </w:r>
      <w:r w:rsidR="00710575">
        <w:tab/>
        <w:t>Cristy Renner, Fluor-BWXT</w:t>
      </w:r>
      <w:r>
        <w:br/>
      </w:r>
      <w:r w:rsidR="00230D45">
        <w:t xml:space="preserve">Steve </w:t>
      </w:r>
      <w:proofErr w:type="spellStart"/>
      <w:r w:rsidR="00230D45">
        <w:t>Mahnesmith</w:t>
      </w:r>
      <w:proofErr w:type="spellEnd"/>
      <w:r w:rsidR="00230D45">
        <w:t>, SNL</w:t>
      </w:r>
      <w:r w:rsidR="00D31B4B">
        <w:t xml:space="preserve">, </w:t>
      </w:r>
      <w:r w:rsidR="00710575">
        <w:tab/>
      </w:r>
      <w:r>
        <w:t>Marylou Apodaca, SNL</w:t>
      </w:r>
      <w:r w:rsidR="00A737FF">
        <w:br/>
      </w:r>
      <w:r>
        <w:t>Faith Girolamo, SRS</w:t>
      </w:r>
      <w:r w:rsidR="00710575">
        <w:tab/>
      </w:r>
      <w:r w:rsidR="00710575">
        <w:tab/>
        <w:t>Jim Hylko, Four Rivers</w:t>
      </w:r>
      <w:r>
        <w:br/>
        <w:t>Todd Billings, Bechtel</w:t>
      </w:r>
      <w:r w:rsidR="00710575">
        <w:tab/>
      </w:r>
      <w:r w:rsidR="00710575">
        <w:tab/>
        <w:t>Lisa Cooper, PDGP</w:t>
      </w:r>
      <w:r>
        <w:br/>
        <w:t>Rachel Hill, Bechtel</w:t>
      </w:r>
      <w:r w:rsidR="00710575">
        <w:tab/>
      </w:r>
      <w:r w:rsidR="00710575">
        <w:tab/>
        <w:t>Terry Scoggins, O</w:t>
      </w:r>
      <w:r w:rsidR="005468A1">
        <w:t>RNL</w:t>
      </w:r>
      <w:r w:rsidR="00586818">
        <w:br/>
      </w:r>
      <w:r w:rsidR="00EF7935">
        <w:t>Greg Pope, LLNL</w:t>
      </w:r>
      <w:r w:rsidR="007F3B93">
        <w:tab/>
      </w:r>
      <w:r w:rsidR="007F3B93">
        <w:tab/>
      </w:r>
      <w:r w:rsidR="007F3B93">
        <w:rPr>
          <w:rFonts w:eastAsia="Times New Roman"/>
        </w:rPr>
        <w:t>Veronica Camarillo-Morris, LANL</w:t>
      </w:r>
      <w:r w:rsidR="00A737FF">
        <w:br/>
      </w:r>
      <w:r w:rsidR="00550DDD">
        <w:rPr>
          <w:rFonts w:eastAsia="Times New Roman"/>
        </w:rPr>
        <w:t>Lance Abbott, SRS</w:t>
      </w:r>
      <w:r w:rsidR="00A737FF">
        <w:rPr>
          <w:rFonts w:eastAsia="Times New Roman"/>
        </w:rPr>
        <w:tab/>
      </w:r>
      <w:r w:rsidR="00550DDD">
        <w:tab/>
      </w:r>
      <w:r w:rsidR="00550DDD">
        <w:rPr>
          <w:rFonts w:eastAsia="Times New Roman"/>
        </w:rPr>
        <w:t>Stella McKirdy, INL</w:t>
      </w:r>
      <w:r>
        <w:br/>
        <w:t>Pat Nakagawa, CN</w:t>
      </w:r>
      <w:r w:rsidR="005F04D9">
        <w:t>S</w:t>
      </w:r>
      <w:r w:rsidR="00550DDD">
        <w:tab/>
      </w:r>
      <w:r w:rsidR="00550DDD">
        <w:tab/>
      </w:r>
      <w:r w:rsidR="00550DDD">
        <w:rPr>
          <w:rFonts w:eastAsia="Times New Roman"/>
        </w:rPr>
        <w:t xml:space="preserve">Carol Olijar, </w:t>
      </w:r>
      <w:r w:rsidR="005F04D9">
        <w:rPr>
          <w:rFonts w:eastAsia="Times New Roman"/>
        </w:rPr>
        <w:t>ANL</w:t>
      </w:r>
      <w:r>
        <w:br/>
        <w:t xml:space="preserve">Jeni </w:t>
      </w:r>
      <w:r w:rsidR="00710575">
        <w:t>Turgeon</w:t>
      </w:r>
      <w:r>
        <w:t>, SNL</w:t>
      </w:r>
      <w:r w:rsidR="005F04D9">
        <w:tab/>
      </w:r>
      <w:r w:rsidR="005F04D9">
        <w:tab/>
      </w:r>
      <w:r w:rsidR="008A4870">
        <w:t xml:space="preserve">Derrek Michaels, </w:t>
      </w:r>
      <w:r w:rsidR="00791F1C">
        <w:t>Hanford</w:t>
      </w:r>
      <w:r>
        <w:br/>
      </w:r>
      <w:bookmarkStart w:id="0" w:name="_GoBack"/>
      <w:bookmarkEnd w:id="0"/>
      <w:r w:rsidR="00710575">
        <w:t>Patrick Auer, LLNL</w:t>
      </w:r>
      <w:r w:rsidR="002F2A55">
        <w:tab/>
      </w:r>
      <w:r w:rsidR="002F2A55">
        <w:tab/>
        <w:t xml:space="preserve">Dave </w:t>
      </w:r>
      <w:proofErr w:type="spellStart"/>
      <w:r w:rsidR="002F2A55">
        <w:t>Thoman</w:t>
      </w:r>
      <w:proofErr w:type="spellEnd"/>
      <w:r w:rsidR="002F2A55">
        <w:t xml:space="preserve">, </w:t>
      </w:r>
      <w:proofErr w:type="spellStart"/>
      <w:r w:rsidR="002F2A55">
        <w:t>A</w:t>
      </w:r>
      <w:r w:rsidR="00790211">
        <w:t>mentum</w:t>
      </w:r>
      <w:proofErr w:type="spellEnd"/>
      <w:r w:rsidR="00710575">
        <w:br/>
        <w:t>Sid Ailes, Atkins Global</w:t>
      </w:r>
      <w:r w:rsidR="00B72E93">
        <w:tab/>
      </w:r>
      <w:r w:rsidR="00B72E93">
        <w:tab/>
        <w:t>Christian Palay, AU-32</w:t>
      </w:r>
      <w:r w:rsidR="00710575">
        <w:br/>
      </w:r>
      <w:r w:rsidR="00B72E93">
        <w:rPr>
          <w:rFonts w:eastAsia="Times New Roman"/>
        </w:rPr>
        <w:t>Tom Bundy, ORNL</w:t>
      </w:r>
      <w:r w:rsidR="00B72E93">
        <w:rPr>
          <w:rFonts w:eastAsia="Times New Roman"/>
        </w:rPr>
        <w:tab/>
      </w:r>
      <w:r w:rsidR="00B72E93">
        <w:rPr>
          <w:rFonts w:eastAsia="Times New Roman"/>
        </w:rPr>
        <w:tab/>
        <w:t>Gladys Udenta, NNSA</w:t>
      </w:r>
    </w:p>
    <w:p w14:paraId="7C9A5412" w14:textId="77777777" w:rsidR="00B72E93" w:rsidRDefault="00B72E93" w:rsidP="0025400A"/>
    <w:p w14:paraId="17BAB0DA" w14:textId="77777777" w:rsidR="000C3D64" w:rsidRDefault="000C3D64" w:rsidP="0025400A"/>
    <w:sectPr w:rsidR="000C3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60A88"/>
    <w:multiLevelType w:val="hybridMultilevel"/>
    <w:tmpl w:val="7DB4DEE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 w15:restartNumberingAfterBreak="0">
    <w:nsid w:val="20D95D90"/>
    <w:multiLevelType w:val="hybridMultilevel"/>
    <w:tmpl w:val="4A60A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E224B"/>
    <w:multiLevelType w:val="hybridMultilevel"/>
    <w:tmpl w:val="AF3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A3C7B"/>
    <w:multiLevelType w:val="hybridMultilevel"/>
    <w:tmpl w:val="06DC6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3F6C96"/>
    <w:multiLevelType w:val="hybridMultilevel"/>
    <w:tmpl w:val="FF0CF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7B7E9D"/>
    <w:multiLevelType w:val="hybridMultilevel"/>
    <w:tmpl w:val="2C205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A21912"/>
    <w:multiLevelType w:val="hybridMultilevel"/>
    <w:tmpl w:val="DEA61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831689A"/>
    <w:multiLevelType w:val="hybridMultilevel"/>
    <w:tmpl w:val="52CE1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7"/>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00A"/>
    <w:rsid w:val="000510DE"/>
    <w:rsid w:val="0005385B"/>
    <w:rsid w:val="000C0158"/>
    <w:rsid w:val="000C3D64"/>
    <w:rsid w:val="0010347F"/>
    <w:rsid w:val="001E7076"/>
    <w:rsid w:val="00230D45"/>
    <w:rsid w:val="0025400A"/>
    <w:rsid w:val="002F2A55"/>
    <w:rsid w:val="003C0E9C"/>
    <w:rsid w:val="00502E86"/>
    <w:rsid w:val="005468A1"/>
    <w:rsid w:val="00550DDD"/>
    <w:rsid w:val="00586818"/>
    <w:rsid w:val="005C40DB"/>
    <w:rsid w:val="005F04D9"/>
    <w:rsid w:val="006C4E7B"/>
    <w:rsid w:val="00710575"/>
    <w:rsid w:val="00790211"/>
    <w:rsid w:val="00791F1C"/>
    <w:rsid w:val="007D545F"/>
    <w:rsid w:val="007F3B93"/>
    <w:rsid w:val="00845FB6"/>
    <w:rsid w:val="008A4870"/>
    <w:rsid w:val="00981E13"/>
    <w:rsid w:val="009A7C25"/>
    <w:rsid w:val="009C047F"/>
    <w:rsid w:val="00A67843"/>
    <w:rsid w:val="00A737FF"/>
    <w:rsid w:val="00A84549"/>
    <w:rsid w:val="00B72E93"/>
    <w:rsid w:val="00C57451"/>
    <w:rsid w:val="00CA4320"/>
    <w:rsid w:val="00CF269D"/>
    <w:rsid w:val="00D151B0"/>
    <w:rsid w:val="00D2712D"/>
    <w:rsid w:val="00D31B4B"/>
    <w:rsid w:val="00E85917"/>
    <w:rsid w:val="00E93A78"/>
    <w:rsid w:val="00EF33EC"/>
    <w:rsid w:val="00EF7935"/>
    <w:rsid w:val="00F81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7B48"/>
  <w15:chartTrackingRefBased/>
  <w15:docId w15:val="{ADCA8D1B-9C8A-4E53-99CF-1E7CC627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451"/>
    <w:pPr>
      <w:ind w:left="720"/>
      <w:contextualSpacing/>
    </w:pPr>
  </w:style>
  <w:style w:type="character" w:styleId="Hyperlink">
    <w:name w:val="Hyperlink"/>
    <w:basedOn w:val="DefaultParagraphFont"/>
    <w:uiPriority w:val="99"/>
    <w:semiHidden/>
    <w:unhideWhenUsed/>
    <w:rsid w:val="00845F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331363">
      <w:bodyDiv w:val="1"/>
      <w:marLeft w:val="0"/>
      <w:marRight w:val="0"/>
      <w:marTop w:val="0"/>
      <w:marBottom w:val="0"/>
      <w:divBdr>
        <w:top w:val="none" w:sz="0" w:space="0" w:color="auto"/>
        <w:left w:val="none" w:sz="0" w:space="0" w:color="auto"/>
        <w:bottom w:val="none" w:sz="0" w:space="0" w:color="auto"/>
        <w:right w:val="none" w:sz="0" w:space="0" w:color="auto"/>
      </w:divBdr>
    </w:div>
    <w:div w:id="197964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apod@sandia.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F2C0C409D15846B22A3E28E5C3867E" ma:contentTypeVersion="7" ma:contentTypeDescription="Create a new document." ma:contentTypeScope="" ma:versionID="354003ea1c0b003a4cfc1c208439c61d">
  <xsd:schema xmlns:xsd="http://www.w3.org/2001/XMLSchema" xmlns:xs="http://www.w3.org/2001/XMLSchema" xmlns:p="http://schemas.microsoft.com/office/2006/metadata/properties" xmlns:ns3="39d22158-14c6-450f-a1b3-cc39ff917f42" targetNamespace="http://schemas.microsoft.com/office/2006/metadata/properties" ma:root="true" ma:fieldsID="625c920148b128668cd91733591ee0af" ns3:_="">
    <xsd:import namespace="39d22158-14c6-450f-a1b3-cc39ff917f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22158-14c6-450f-a1b3-cc39ff917f4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0530FF-1F64-47C0-9AD1-6721EAB864E9}">
  <ds:schemaRefs>
    <ds:schemaRef ds:uri="http://schemas.microsoft.com/sharepoint/v3/contenttype/forms"/>
  </ds:schemaRefs>
</ds:datastoreItem>
</file>

<file path=customXml/itemProps2.xml><?xml version="1.0" encoding="utf-8"?>
<ds:datastoreItem xmlns:ds="http://schemas.openxmlformats.org/officeDocument/2006/customXml" ds:itemID="{4BD15E44-82FB-4F64-A5C7-9A68800AC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22158-14c6-450f-a1b3-cc39ff917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3F837C-77B8-4DD3-BB46-4E70B189BD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Apodaca, Marylou</dc:creator>
  <cp:keywords/>
  <dc:description/>
  <cp:lastModifiedBy>Pope, Vicki L.</cp:lastModifiedBy>
  <cp:revision>25</cp:revision>
  <dcterms:created xsi:type="dcterms:W3CDTF">2020-02-25T00:35:00Z</dcterms:created>
  <dcterms:modified xsi:type="dcterms:W3CDTF">2020-02-25T00:54:00Z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0x0101002DF2C0C409D15846B22A3E28E5C3867E</vt:lpwstr>
  </property>
</Properties>
</file>